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43" w:rsidRPr="00C40EA8" w:rsidRDefault="00C87C43" w:rsidP="00C87C43">
      <w:pPr>
        <w:spacing w:after="0"/>
        <w:jc w:val="center"/>
        <w:rPr>
          <w:rFonts w:ascii="Arial" w:hAnsi="Arial" w:cs="Arial"/>
          <w:b/>
          <w:sz w:val="24"/>
          <w:szCs w:val="24"/>
        </w:rPr>
      </w:pPr>
      <w:r w:rsidRPr="00C40EA8">
        <w:rPr>
          <w:rFonts w:ascii="Arial" w:hAnsi="Arial" w:cs="Arial"/>
          <w:b/>
          <w:sz w:val="24"/>
          <w:szCs w:val="24"/>
        </w:rPr>
        <w:t xml:space="preserve">DESPACHO DE </w:t>
      </w:r>
      <w:r w:rsidR="00C40EA8" w:rsidRPr="00C40EA8">
        <w:rPr>
          <w:rFonts w:ascii="Arial" w:hAnsi="Arial" w:cs="Arial"/>
          <w:b/>
          <w:sz w:val="24"/>
          <w:szCs w:val="24"/>
        </w:rPr>
        <w:t>ANULAÇÃO</w:t>
      </w:r>
    </w:p>
    <w:p w:rsidR="00C87C43" w:rsidRDefault="00C87C43" w:rsidP="00C87C43">
      <w:pPr>
        <w:spacing w:after="0"/>
        <w:jc w:val="both"/>
        <w:rPr>
          <w:rFonts w:ascii="Calibri" w:hAnsi="Calibri"/>
          <w:sz w:val="24"/>
          <w:szCs w:val="24"/>
        </w:rPr>
      </w:pPr>
    </w:p>
    <w:p w:rsidR="00C87C43" w:rsidRDefault="00C87C43" w:rsidP="00C87C43">
      <w:pPr>
        <w:pStyle w:val="Recuodecorpodetexto"/>
        <w:spacing w:after="0" w:line="276" w:lineRule="auto"/>
        <w:rPr>
          <w:rFonts w:ascii="Calibri" w:hAnsi="Calibri"/>
        </w:rPr>
      </w:pPr>
    </w:p>
    <w:p w:rsidR="00C87C43" w:rsidRPr="00C40EA8" w:rsidRDefault="002D4DBE" w:rsidP="00C87C43">
      <w:pPr>
        <w:pStyle w:val="Recuodecorpodetexto"/>
        <w:spacing w:after="0" w:line="276" w:lineRule="auto"/>
        <w:ind w:left="0" w:firstLine="1210"/>
        <w:jc w:val="both"/>
        <w:rPr>
          <w:rFonts w:ascii="Arial" w:hAnsi="Arial" w:cs="Arial"/>
        </w:rPr>
      </w:pPr>
      <w:r w:rsidRPr="00C40EA8">
        <w:rPr>
          <w:rFonts w:ascii="Arial" w:hAnsi="Arial" w:cs="Arial"/>
        </w:rPr>
        <w:t xml:space="preserve">A Secretaria Municipal de </w:t>
      </w:r>
      <w:r w:rsidR="00BA6F76" w:rsidRPr="00C40EA8">
        <w:rPr>
          <w:rFonts w:ascii="Arial" w:hAnsi="Arial" w:cs="Arial"/>
        </w:rPr>
        <w:t>Obras</w:t>
      </w:r>
      <w:r w:rsidR="00C87C43" w:rsidRPr="00C40EA8">
        <w:rPr>
          <w:rFonts w:ascii="Arial" w:hAnsi="Arial" w:cs="Arial"/>
        </w:rPr>
        <w:t xml:space="preserve"> solicitou a realização de Processo Licitatório, objetivando a </w:t>
      </w:r>
      <w:r w:rsidR="00BA6F76" w:rsidRPr="00C40EA8">
        <w:rPr>
          <w:rFonts w:ascii="Arial" w:hAnsi="Arial" w:cs="Arial"/>
        </w:rPr>
        <w:t>contratação de pessoa jurídica especializada na prestação de serviços em manutenção de iluminação pública para prestação de serviço de manutenção da iluminação pública de Tupaciguara, com fornecimento total de materiais, equipamentos e mão de obra, totalizando 5.183 (cinco mil, cento e oitenta e</w:t>
      </w:r>
      <w:proofErr w:type="gramStart"/>
      <w:r w:rsidR="00BA6F76" w:rsidRPr="00C40EA8">
        <w:rPr>
          <w:rFonts w:ascii="Arial" w:hAnsi="Arial" w:cs="Arial"/>
        </w:rPr>
        <w:t xml:space="preserve">  </w:t>
      </w:r>
      <w:proofErr w:type="gramEnd"/>
      <w:r w:rsidR="00BA6F76" w:rsidRPr="00C40EA8">
        <w:rPr>
          <w:rFonts w:ascii="Arial" w:hAnsi="Arial" w:cs="Arial"/>
        </w:rPr>
        <w:t xml:space="preserve">três ) pontos de </w:t>
      </w:r>
      <w:proofErr w:type="spellStart"/>
      <w:r w:rsidR="00BA6F76" w:rsidRPr="00C40EA8">
        <w:rPr>
          <w:rFonts w:ascii="Arial" w:hAnsi="Arial" w:cs="Arial"/>
        </w:rPr>
        <w:t>ip</w:t>
      </w:r>
      <w:proofErr w:type="spellEnd"/>
      <w:r w:rsidR="00BA6F76" w:rsidRPr="00C40EA8">
        <w:rPr>
          <w:rFonts w:ascii="Arial" w:hAnsi="Arial" w:cs="Arial"/>
        </w:rPr>
        <w:t>.</w:t>
      </w:r>
    </w:p>
    <w:p w:rsidR="00EC0811" w:rsidRPr="00C40EA8" w:rsidRDefault="00EC0811" w:rsidP="00BA6F76">
      <w:pPr>
        <w:pStyle w:val="Recuodecorpodetexto"/>
        <w:spacing w:after="0" w:line="276" w:lineRule="auto"/>
        <w:ind w:left="0"/>
        <w:jc w:val="both"/>
        <w:rPr>
          <w:rFonts w:ascii="Arial" w:hAnsi="Arial" w:cs="Arial"/>
        </w:rPr>
      </w:pPr>
    </w:p>
    <w:p w:rsidR="00B20D4D" w:rsidRPr="00C40EA8" w:rsidRDefault="00B20D4D" w:rsidP="00C87C43">
      <w:pPr>
        <w:pStyle w:val="Recuodecorpodetexto"/>
        <w:spacing w:after="0" w:line="276" w:lineRule="auto"/>
        <w:ind w:left="0" w:firstLine="1210"/>
        <w:jc w:val="both"/>
        <w:rPr>
          <w:rFonts w:ascii="Arial" w:hAnsi="Arial" w:cs="Arial"/>
        </w:rPr>
      </w:pPr>
      <w:r w:rsidRPr="00C40EA8">
        <w:rPr>
          <w:rFonts w:ascii="Arial" w:hAnsi="Arial" w:cs="Arial"/>
        </w:rPr>
        <w:t xml:space="preserve">A licitação obedeceu aos ditames legais, sendo observadas as exigências contidas nas Leis 8.666/93, no tocante à modalidade e ao procedimento. No entanto, </w:t>
      </w:r>
      <w:proofErr w:type="gramStart"/>
      <w:r w:rsidRPr="00C40EA8">
        <w:rPr>
          <w:rFonts w:ascii="Arial" w:hAnsi="Arial" w:cs="Arial"/>
        </w:rPr>
        <w:t>constatou-se</w:t>
      </w:r>
      <w:proofErr w:type="gramEnd"/>
      <w:r w:rsidRPr="00C40EA8">
        <w:rPr>
          <w:rFonts w:ascii="Arial" w:hAnsi="Arial" w:cs="Arial"/>
        </w:rPr>
        <w:t xml:space="preserve"> diversos equívocos no Edital da Carta Convite, que deverão ser alvo de correções da administração pública municipal.</w:t>
      </w:r>
    </w:p>
    <w:p w:rsidR="00C40EA8" w:rsidRDefault="00C40EA8" w:rsidP="00C87C43">
      <w:pPr>
        <w:pStyle w:val="Recuodecorpodetexto"/>
        <w:spacing w:after="0" w:line="276" w:lineRule="auto"/>
        <w:ind w:left="0" w:firstLine="1210"/>
        <w:jc w:val="both"/>
        <w:rPr>
          <w:rFonts w:ascii="Calibri" w:hAnsi="Calibri"/>
        </w:rPr>
      </w:pPr>
    </w:p>
    <w:p w:rsidR="00C87C43" w:rsidRPr="00C40EA8" w:rsidRDefault="00B20D4D" w:rsidP="00C87C43">
      <w:pPr>
        <w:pStyle w:val="Recuodecorpodetexto"/>
        <w:spacing w:after="0" w:line="276" w:lineRule="auto"/>
        <w:ind w:left="0" w:firstLine="1210"/>
        <w:jc w:val="both"/>
        <w:rPr>
          <w:rFonts w:ascii="Arial" w:hAnsi="Arial" w:cs="Arial"/>
          <w:b/>
          <w:i/>
        </w:rPr>
      </w:pPr>
      <w:r w:rsidRPr="00C40EA8">
        <w:rPr>
          <w:rFonts w:ascii="Arial" w:hAnsi="Arial" w:cs="Arial"/>
        </w:rPr>
        <w:t>Dessa forma</w:t>
      </w:r>
      <w:r w:rsidR="00C87C43" w:rsidRPr="00C40EA8">
        <w:rPr>
          <w:rFonts w:ascii="Arial" w:hAnsi="Arial" w:cs="Arial"/>
        </w:rPr>
        <w:t>,</w:t>
      </w:r>
      <w:r w:rsidRPr="00C40EA8">
        <w:rPr>
          <w:rFonts w:ascii="Arial" w:hAnsi="Arial" w:cs="Arial"/>
        </w:rPr>
        <w:t xml:space="preserve"> a licitação não atingirá a finalidade de assegurar a maior vantagem para a Administração Pública, não dando concreção ao princípio da eficiência, sendo assim,</w:t>
      </w:r>
      <w:r w:rsidR="00C87C43" w:rsidRPr="00C40EA8">
        <w:rPr>
          <w:rFonts w:ascii="Arial" w:hAnsi="Arial" w:cs="Arial"/>
        </w:rPr>
        <w:t xml:space="preserve"> estabelece o artigo 49 da Lei de Licitações que a</w:t>
      </w:r>
      <w:r w:rsidR="00C87C43" w:rsidRPr="00C40EA8">
        <w:rPr>
          <w:rFonts w:ascii="Arial" w:hAnsi="Arial" w:cs="Arial"/>
          <w:i/>
        </w:rPr>
        <w:t xml:space="preserve"> </w:t>
      </w:r>
      <w:r w:rsidR="00C87C43" w:rsidRPr="00C40EA8">
        <w:rPr>
          <w:rFonts w:ascii="Arial" w:hAnsi="Arial" w:cs="Arial"/>
        </w:rPr>
        <w:t>autoridade competente para a aprovação do procedimento somente poderá revogar a licitação por razões de interesse público decorrente de fato superveniente devidamente comprovado, pertinente e suficiente para justificar tal conduta,</w:t>
      </w:r>
      <w:r w:rsidR="009B022E" w:rsidRPr="00C40EA8">
        <w:rPr>
          <w:rFonts w:ascii="Arial" w:hAnsi="Arial" w:cs="Arial"/>
        </w:rPr>
        <w:t xml:space="preserve"> </w:t>
      </w:r>
      <w:r w:rsidR="00C87C43" w:rsidRPr="00C40EA8">
        <w:rPr>
          <w:rFonts w:ascii="Arial" w:hAnsi="Arial" w:cs="Arial"/>
          <w:b/>
          <w:i/>
        </w:rPr>
        <w:t>devendo anulá-la por ilegalidade, de ofício ou por provocação de terceiros, mediante parecer escrito e devidamente fundamentado”. (grifo nosso</w:t>
      </w:r>
      <w:proofErr w:type="gramStart"/>
      <w:r w:rsidR="00C87C43" w:rsidRPr="00C40EA8">
        <w:rPr>
          <w:rFonts w:ascii="Arial" w:hAnsi="Arial" w:cs="Arial"/>
          <w:b/>
          <w:i/>
        </w:rPr>
        <w:t>)</w:t>
      </w:r>
      <w:proofErr w:type="gramEnd"/>
    </w:p>
    <w:p w:rsidR="00C87C43" w:rsidRPr="002D4DBE" w:rsidRDefault="00C87C43" w:rsidP="00C87C43">
      <w:pPr>
        <w:pStyle w:val="NormalWeb"/>
        <w:spacing w:before="0" w:beforeAutospacing="0" w:after="0" w:afterAutospacing="0" w:line="276" w:lineRule="auto"/>
        <w:ind w:left="2268" w:right="45"/>
        <w:jc w:val="both"/>
        <w:rPr>
          <w:rFonts w:ascii="Calibri" w:hAnsi="Calibri"/>
          <w:i/>
        </w:rPr>
      </w:pPr>
    </w:p>
    <w:p w:rsidR="00C87C43" w:rsidRPr="00C40EA8" w:rsidRDefault="00C87C43" w:rsidP="00C87C43">
      <w:pPr>
        <w:pStyle w:val="NormalWeb"/>
        <w:spacing w:before="0" w:beforeAutospacing="0" w:after="0" w:afterAutospacing="0" w:line="276" w:lineRule="auto"/>
        <w:ind w:right="45" w:firstLine="1210"/>
        <w:jc w:val="both"/>
        <w:rPr>
          <w:rFonts w:ascii="Arial" w:hAnsi="Arial" w:cs="Arial"/>
        </w:rPr>
      </w:pPr>
      <w:r w:rsidRPr="00C40EA8">
        <w:rPr>
          <w:rFonts w:ascii="Arial" w:hAnsi="Arial" w:cs="Arial"/>
        </w:rPr>
        <w:t xml:space="preserve">Como prevê o artigo supra citado, a autoridade pública poderá revogar o procedimento em razões de interesse público, decorrentes de fato superveniente. </w:t>
      </w:r>
    </w:p>
    <w:p w:rsidR="00C87C43" w:rsidRPr="00C40EA8" w:rsidRDefault="00C87C43" w:rsidP="00C87C43">
      <w:pPr>
        <w:pStyle w:val="NormalWeb"/>
        <w:spacing w:before="0" w:beforeAutospacing="0" w:after="0" w:afterAutospacing="0" w:line="276" w:lineRule="auto"/>
        <w:ind w:right="45" w:firstLine="1210"/>
        <w:jc w:val="both"/>
        <w:rPr>
          <w:rFonts w:ascii="Arial" w:hAnsi="Arial" w:cs="Arial"/>
        </w:rPr>
      </w:pPr>
    </w:p>
    <w:p w:rsidR="00C87C43" w:rsidRPr="00C40EA8" w:rsidRDefault="00C87C43" w:rsidP="00C87C43">
      <w:pPr>
        <w:pStyle w:val="NormalWeb"/>
        <w:spacing w:before="0" w:beforeAutospacing="0" w:after="0" w:afterAutospacing="0" w:line="276" w:lineRule="auto"/>
        <w:ind w:right="45" w:firstLine="1210"/>
        <w:jc w:val="both"/>
        <w:rPr>
          <w:rFonts w:ascii="Arial" w:hAnsi="Arial" w:cs="Arial"/>
        </w:rPr>
      </w:pPr>
      <w:r w:rsidRPr="00C40EA8">
        <w:rPr>
          <w:rFonts w:ascii="Arial" w:hAnsi="Arial" w:cs="Arial"/>
        </w:rPr>
        <w:t>Na revogação, o desfazimento do ato administrativo não decorre de vício ou defeito, aliás, muito pelo contrário, somente se alude à revogação se o ato for válido e perfeito. A revogação se funda em juízo que apura a conveniência do ato relativamente ao interesse público.</w:t>
      </w:r>
    </w:p>
    <w:p w:rsidR="009B022E" w:rsidRDefault="009B022E" w:rsidP="00C87C43">
      <w:pPr>
        <w:pStyle w:val="NormalWeb"/>
        <w:spacing w:before="0" w:beforeAutospacing="0" w:after="0" w:afterAutospacing="0" w:line="276" w:lineRule="auto"/>
        <w:ind w:right="45" w:firstLine="1210"/>
        <w:jc w:val="both"/>
        <w:rPr>
          <w:rFonts w:ascii="Calibri" w:hAnsi="Calibri"/>
        </w:rPr>
      </w:pPr>
    </w:p>
    <w:p w:rsidR="00C87C43" w:rsidRDefault="00C87C43" w:rsidP="00C87C43">
      <w:pPr>
        <w:spacing w:after="0"/>
        <w:ind w:firstLine="1276"/>
        <w:jc w:val="both"/>
        <w:rPr>
          <w:rFonts w:ascii="Calibri" w:hAnsi="Calibri"/>
          <w:i/>
          <w:sz w:val="24"/>
          <w:szCs w:val="24"/>
        </w:rPr>
      </w:pPr>
      <w:r w:rsidRPr="00C40EA8">
        <w:rPr>
          <w:rFonts w:ascii="Arial" w:hAnsi="Arial" w:cs="Arial"/>
          <w:sz w:val="24"/>
          <w:szCs w:val="24"/>
        </w:rPr>
        <w:t xml:space="preserve">Neste sentido é o posicionamento do Supremo Tribunal Federal nas Súmulas 346 e </w:t>
      </w:r>
      <w:smartTag w:uri="urn:schemas-microsoft-com:office:smarttags" w:element="metricconverter">
        <w:smartTagPr>
          <w:attr w:name="ProductID" w:val="473, in"/>
        </w:smartTagPr>
        <w:r w:rsidRPr="00C40EA8">
          <w:rPr>
            <w:rFonts w:ascii="Arial" w:hAnsi="Arial" w:cs="Arial"/>
            <w:sz w:val="24"/>
            <w:szCs w:val="24"/>
          </w:rPr>
          <w:t xml:space="preserve">473, </w:t>
        </w:r>
        <w:r w:rsidRPr="00C40EA8">
          <w:rPr>
            <w:rFonts w:ascii="Arial" w:hAnsi="Arial" w:cs="Arial"/>
            <w:i/>
            <w:sz w:val="24"/>
            <w:szCs w:val="24"/>
          </w:rPr>
          <w:t>in</w:t>
        </w:r>
      </w:smartTag>
      <w:r w:rsidRPr="00C40EA8">
        <w:rPr>
          <w:rFonts w:ascii="Arial" w:hAnsi="Arial" w:cs="Arial"/>
          <w:i/>
          <w:sz w:val="24"/>
          <w:szCs w:val="24"/>
        </w:rPr>
        <w:t xml:space="preserve"> </w:t>
      </w:r>
      <w:proofErr w:type="spellStart"/>
      <w:r w:rsidRPr="00C40EA8">
        <w:rPr>
          <w:rFonts w:ascii="Arial" w:hAnsi="Arial" w:cs="Arial"/>
          <w:i/>
          <w:sz w:val="24"/>
          <w:szCs w:val="24"/>
        </w:rPr>
        <w:t>verbis</w:t>
      </w:r>
      <w:proofErr w:type="spellEnd"/>
      <w:r w:rsidRPr="00C40EA8">
        <w:rPr>
          <w:rFonts w:ascii="Arial" w:hAnsi="Arial" w:cs="Arial"/>
          <w:i/>
          <w:sz w:val="24"/>
          <w:szCs w:val="24"/>
        </w:rPr>
        <w:t>:</w:t>
      </w:r>
    </w:p>
    <w:p w:rsidR="00C87C43" w:rsidRDefault="00C87C43" w:rsidP="00C87C43">
      <w:pPr>
        <w:spacing w:after="0"/>
        <w:ind w:firstLine="2640"/>
        <w:jc w:val="both"/>
        <w:rPr>
          <w:rFonts w:ascii="Calibri" w:hAnsi="Calibri"/>
          <w:i/>
          <w:sz w:val="24"/>
          <w:szCs w:val="24"/>
        </w:rPr>
      </w:pPr>
    </w:p>
    <w:p w:rsidR="00C87C43" w:rsidRPr="00C40EA8" w:rsidRDefault="00C87C43" w:rsidP="00C87C43">
      <w:pPr>
        <w:spacing w:after="0"/>
        <w:ind w:left="2552" w:firstLine="2642"/>
        <w:jc w:val="both"/>
        <w:rPr>
          <w:rFonts w:ascii="Arial" w:hAnsi="Arial" w:cs="Arial"/>
          <w:i/>
          <w:sz w:val="24"/>
          <w:szCs w:val="24"/>
        </w:rPr>
      </w:pPr>
      <w:r w:rsidRPr="00C40EA8">
        <w:rPr>
          <w:rFonts w:ascii="Arial" w:hAnsi="Arial" w:cs="Arial"/>
          <w:i/>
          <w:sz w:val="24"/>
          <w:szCs w:val="24"/>
        </w:rPr>
        <w:t>Súmula 346 - “A Administração pode anular os seus próprios atos”.</w:t>
      </w:r>
    </w:p>
    <w:p w:rsidR="00C87C43" w:rsidRPr="00C40EA8" w:rsidRDefault="00C87C43" w:rsidP="00C87C43">
      <w:pPr>
        <w:spacing w:after="0"/>
        <w:ind w:left="2552" w:firstLine="2642"/>
        <w:jc w:val="both"/>
        <w:rPr>
          <w:rFonts w:ascii="Arial" w:hAnsi="Arial" w:cs="Arial"/>
          <w:i/>
          <w:sz w:val="24"/>
          <w:szCs w:val="24"/>
        </w:rPr>
      </w:pPr>
    </w:p>
    <w:p w:rsidR="00C87C43" w:rsidRPr="00FA05D9" w:rsidRDefault="00C87C43" w:rsidP="00C87C43">
      <w:pPr>
        <w:spacing w:after="0"/>
        <w:ind w:left="2552" w:firstLine="2642"/>
        <w:jc w:val="both"/>
        <w:rPr>
          <w:rFonts w:ascii="Calibri" w:hAnsi="Calibri"/>
          <w:i/>
          <w:sz w:val="24"/>
          <w:szCs w:val="24"/>
        </w:rPr>
      </w:pPr>
      <w:r w:rsidRPr="00C40EA8">
        <w:rPr>
          <w:rFonts w:ascii="Arial" w:hAnsi="Arial" w:cs="Arial"/>
          <w:i/>
          <w:sz w:val="24"/>
          <w:szCs w:val="24"/>
        </w:rPr>
        <w:t xml:space="preserve">Súmula 473 – “A Administração </w:t>
      </w:r>
      <w:r w:rsidRPr="00FA05D9">
        <w:rPr>
          <w:rFonts w:ascii="Arial" w:hAnsi="Arial" w:cs="Arial"/>
          <w:b/>
          <w:i/>
          <w:sz w:val="24"/>
          <w:szCs w:val="24"/>
        </w:rPr>
        <w:t xml:space="preserve">pode anular seus próprios atos, </w:t>
      </w:r>
      <w:r w:rsidRPr="00FA05D9">
        <w:rPr>
          <w:rFonts w:ascii="Arial" w:hAnsi="Arial" w:cs="Arial"/>
          <w:b/>
          <w:i/>
          <w:sz w:val="24"/>
          <w:szCs w:val="24"/>
        </w:rPr>
        <w:lastRenderedPageBreak/>
        <w:t>quando eivados de vícios que os tornem ilegais</w:t>
      </w:r>
      <w:r w:rsidRPr="00C40EA8">
        <w:rPr>
          <w:rFonts w:ascii="Arial" w:hAnsi="Arial" w:cs="Arial"/>
          <w:i/>
          <w:sz w:val="24"/>
          <w:szCs w:val="24"/>
        </w:rPr>
        <w:t xml:space="preserve">, porque deles não se originam direitos; </w:t>
      </w:r>
      <w:r w:rsidRPr="00FA05D9">
        <w:rPr>
          <w:rFonts w:ascii="Arial" w:hAnsi="Arial" w:cs="Arial"/>
          <w:i/>
          <w:sz w:val="24"/>
          <w:szCs w:val="24"/>
        </w:rPr>
        <w:t>ou revogá-los, por motivo de</w:t>
      </w:r>
      <w:r w:rsidRPr="00FA05D9">
        <w:rPr>
          <w:rFonts w:ascii="Calibri" w:hAnsi="Calibri"/>
          <w:i/>
          <w:sz w:val="24"/>
          <w:szCs w:val="24"/>
        </w:rPr>
        <w:t xml:space="preserve"> </w:t>
      </w:r>
      <w:r w:rsidRPr="00FA05D9">
        <w:rPr>
          <w:rFonts w:ascii="Arial" w:hAnsi="Arial" w:cs="Arial"/>
          <w:i/>
          <w:sz w:val="24"/>
          <w:szCs w:val="24"/>
        </w:rPr>
        <w:t>conveniência ou oportunidade, respeitados os direitos adquiridos, e ressalvada, em todos os casos, a apreciação judicial”.</w:t>
      </w:r>
      <w:r w:rsidRPr="00FA05D9">
        <w:rPr>
          <w:rFonts w:ascii="Calibri" w:hAnsi="Calibri"/>
          <w:i/>
          <w:sz w:val="24"/>
          <w:szCs w:val="24"/>
        </w:rPr>
        <w:t xml:space="preserve"> </w:t>
      </w:r>
    </w:p>
    <w:p w:rsidR="00C87C43" w:rsidRDefault="00C87C43" w:rsidP="00C87C43">
      <w:pPr>
        <w:pStyle w:val="NormalWeb"/>
        <w:spacing w:before="0" w:beforeAutospacing="0" w:after="0" w:afterAutospacing="0" w:line="276" w:lineRule="auto"/>
        <w:ind w:right="45" w:firstLine="1210"/>
        <w:jc w:val="both"/>
        <w:rPr>
          <w:rFonts w:ascii="Calibri" w:hAnsi="Calibri"/>
        </w:rPr>
      </w:pPr>
    </w:p>
    <w:p w:rsidR="00C87C43" w:rsidRPr="00C40EA8" w:rsidRDefault="00C87C43" w:rsidP="00C87C43">
      <w:pPr>
        <w:spacing w:after="0"/>
        <w:ind w:firstLine="1276"/>
        <w:jc w:val="both"/>
        <w:rPr>
          <w:rFonts w:ascii="Arial" w:hAnsi="Arial" w:cs="Arial"/>
          <w:sz w:val="24"/>
          <w:szCs w:val="24"/>
        </w:rPr>
      </w:pPr>
      <w:r w:rsidRPr="00C40EA8">
        <w:rPr>
          <w:rFonts w:ascii="Arial" w:hAnsi="Arial" w:cs="Arial"/>
          <w:sz w:val="24"/>
          <w:szCs w:val="24"/>
        </w:rPr>
        <w:t xml:space="preserve">A possibilidade de a Administração Pública revisar seus próprios atos representa o exercício do Princípio da Autotutela, que estabelece que a Administração </w:t>
      </w:r>
      <w:proofErr w:type="gramStart"/>
      <w:r w:rsidRPr="00C40EA8">
        <w:rPr>
          <w:rFonts w:ascii="Arial" w:hAnsi="Arial" w:cs="Arial"/>
          <w:sz w:val="24"/>
          <w:szCs w:val="24"/>
        </w:rPr>
        <w:t>pode</w:t>
      </w:r>
      <w:proofErr w:type="gramEnd"/>
      <w:r w:rsidRPr="00C40EA8">
        <w:rPr>
          <w:rFonts w:ascii="Arial" w:hAnsi="Arial" w:cs="Arial"/>
          <w:sz w:val="24"/>
          <w:szCs w:val="24"/>
        </w:rPr>
        <w:t xml:space="preserve"> controlar seus próprios a</w:t>
      </w:r>
      <w:r w:rsidR="00EC0811" w:rsidRPr="00C40EA8">
        <w:rPr>
          <w:rFonts w:ascii="Arial" w:hAnsi="Arial" w:cs="Arial"/>
          <w:sz w:val="24"/>
          <w:szCs w:val="24"/>
        </w:rPr>
        <w:t xml:space="preserve">tos, seja para anulá-los </w:t>
      </w:r>
      <w:r w:rsidRPr="00C40EA8">
        <w:rPr>
          <w:rFonts w:ascii="Arial" w:hAnsi="Arial" w:cs="Arial"/>
          <w:sz w:val="24"/>
          <w:szCs w:val="24"/>
        </w:rPr>
        <w:t>quando  ilegais ou revogá-los, quando inconvenientes  ou inoportunos, independente de revisão pelo Poder Judiciário.</w:t>
      </w:r>
    </w:p>
    <w:p w:rsidR="00C87C43" w:rsidRPr="00C40EA8" w:rsidRDefault="00C87C43" w:rsidP="00C87C43">
      <w:pPr>
        <w:spacing w:after="0"/>
        <w:ind w:firstLine="1276"/>
        <w:jc w:val="both"/>
        <w:rPr>
          <w:rFonts w:ascii="Arial" w:hAnsi="Arial" w:cs="Arial"/>
          <w:i/>
          <w:sz w:val="24"/>
          <w:szCs w:val="24"/>
        </w:rPr>
      </w:pPr>
      <w:r w:rsidRPr="00C40EA8">
        <w:rPr>
          <w:rFonts w:ascii="Arial" w:hAnsi="Arial" w:cs="Arial"/>
          <w:sz w:val="24"/>
          <w:szCs w:val="24"/>
        </w:rPr>
        <w:t xml:space="preserve">Esse princípio está sedimentado nas Súmulas supra citadas e no mesmo sentido há o artigo 53 da Lei nº. 9.784/99, que dispõe que </w:t>
      </w:r>
      <w:r w:rsidRPr="00C40EA8">
        <w:rPr>
          <w:rFonts w:ascii="Arial" w:hAnsi="Arial" w:cs="Arial"/>
          <w:i/>
          <w:sz w:val="24"/>
          <w:szCs w:val="24"/>
        </w:rPr>
        <w:t>“a Administração deve anular seus próprios atos, quando eivados de vício de legalidade, e pode revogá-los por motivo de conveniência ou oportunidade, respeitados os direitos adquiridos”.</w:t>
      </w:r>
    </w:p>
    <w:p w:rsidR="00C87C43" w:rsidRPr="00C40EA8" w:rsidRDefault="00C87C43" w:rsidP="00C87C43">
      <w:pPr>
        <w:pStyle w:val="NormalWeb"/>
        <w:spacing w:before="0" w:beforeAutospacing="0" w:after="0" w:afterAutospacing="0" w:line="276" w:lineRule="auto"/>
        <w:ind w:right="45"/>
        <w:jc w:val="both"/>
        <w:rPr>
          <w:rFonts w:ascii="Arial" w:hAnsi="Arial" w:cs="Arial"/>
        </w:rPr>
      </w:pPr>
    </w:p>
    <w:p w:rsidR="00C87C43" w:rsidRPr="00C40EA8" w:rsidRDefault="00FA05D9" w:rsidP="00C87C43">
      <w:pPr>
        <w:pStyle w:val="NormalWeb"/>
        <w:spacing w:before="0" w:beforeAutospacing="0" w:after="0" w:afterAutospacing="0" w:line="276" w:lineRule="auto"/>
        <w:ind w:right="45" w:firstLine="1210"/>
        <w:jc w:val="both"/>
        <w:rPr>
          <w:rFonts w:ascii="Arial" w:hAnsi="Arial" w:cs="Arial"/>
        </w:rPr>
      </w:pPr>
      <w:r>
        <w:rPr>
          <w:rFonts w:ascii="Arial" w:hAnsi="Arial" w:cs="Arial"/>
        </w:rPr>
        <w:t>Por todo o exposto e seguindo orientação de parecer jurídico em anexo,</w:t>
      </w:r>
      <w:proofErr w:type="gramStart"/>
      <w:r>
        <w:rPr>
          <w:rFonts w:ascii="Arial" w:hAnsi="Arial" w:cs="Arial"/>
        </w:rPr>
        <w:t xml:space="preserve"> </w:t>
      </w:r>
      <w:r w:rsidR="00C87C43" w:rsidRPr="00C40EA8">
        <w:rPr>
          <w:rFonts w:ascii="Arial" w:hAnsi="Arial" w:cs="Arial"/>
        </w:rPr>
        <w:t xml:space="preserve"> </w:t>
      </w:r>
      <w:proofErr w:type="gramEnd"/>
      <w:r w:rsidR="00C87C43" w:rsidRPr="00C40EA8">
        <w:rPr>
          <w:rFonts w:ascii="Arial" w:hAnsi="Arial" w:cs="Arial"/>
        </w:rPr>
        <w:t xml:space="preserve">decido </w:t>
      </w:r>
      <w:r>
        <w:rPr>
          <w:rFonts w:ascii="Arial" w:hAnsi="Arial" w:cs="Arial"/>
        </w:rPr>
        <w:t>anular</w:t>
      </w:r>
      <w:r w:rsidR="00C87C43" w:rsidRPr="00C40EA8">
        <w:rPr>
          <w:rFonts w:ascii="Arial" w:hAnsi="Arial" w:cs="Arial"/>
        </w:rPr>
        <w:t xml:space="preserve"> o certame em apreço, o que faço com fulcro no artigo 49 da Lei nº. 8.666/93.</w:t>
      </w:r>
    </w:p>
    <w:p w:rsidR="00C87C43" w:rsidRPr="00C40EA8" w:rsidRDefault="00C87C43" w:rsidP="00C87C43">
      <w:pPr>
        <w:pStyle w:val="NormalWeb"/>
        <w:spacing w:before="0" w:beforeAutospacing="0" w:after="0" w:afterAutospacing="0" w:line="276" w:lineRule="auto"/>
        <w:ind w:right="45" w:firstLine="1210"/>
        <w:jc w:val="both"/>
        <w:rPr>
          <w:rFonts w:ascii="Arial" w:hAnsi="Arial" w:cs="Arial"/>
        </w:rPr>
      </w:pPr>
    </w:p>
    <w:p w:rsidR="00C87C43" w:rsidRPr="00C40EA8" w:rsidRDefault="00C87C43" w:rsidP="00C87C43">
      <w:pPr>
        <w:pStyle w:val="NormalWeb"/>
        <w:spacing w:before="0" w:beforeAutospacing="0" w:after="0" w:afterAutospacing="0" w:line="276" w:lineRule="auto"/>
        <w:ind w:right="45" w:firstLine="1210"/>
        <w:jc w:val="both"/>
        <w:rPr>
          <w:rFonts w:ascii="Arial" w:hAnsi="Arial" w:cs="Arial"/>
        </w:rPr>
      </w:pPr>
      <w:r w:rsidRPr="00C40EA8">
        <w:rPr>
          <w:rFonts w:ascii="Arial" w:hAnsi="Arial" w:cs="Arial"/>
        </w:rPr>
        <w:t>Publique-se, para ciência dos interessados, observadas a prescrições legais pertinentes.</w:t>
      </w:r>
    </w:p>
    <w:p w:rsidR="00C87C43" w:rsidRPr="00C40EA8" w:rsidRDefault="00C87C43" w:rsidP="009B022E">
      <w:pPr>
        <w:pStyle w:val="NormalWeb"/>
        <w:spacing w:before="0" w:beforeAutospacing="0" w:after="0" w:afterAutospacing="0" w:line="276" w:lineRule="auto"/>
        <w:ind w:right="45"/>
        <w:rPr>
          <w:rFonts w:ascii="Arial" w:hAnsi="Arial" w:cs="Arial"/>
        </w:rPr>
      </w:pPr>
    </w:p>
    <w:p w:rsidR="00C87C43" w:rsidRPr="00C40EA8" w:rsidRDefault="002D4DBE" w:rsidP="00C87C43">
      <w:pPr>
        <w:pStyle w:val="NormalWeb"/>
        <w:spacing w:before="0" w:beforeAutospacing="0" w:after="0" w:afterAutospacing="0" w:line="276" w:lineRule="auto"/>
        <w:ind w:right="45" w:firstLine="1210"/>
        <w:jc w:val="center"/>
        <w:rPr>
          <w:rFonts w:ascii="Arial" w:hAnsi="Arial" w:cs="Arial"/>
        </w:rPr>
      </w:pPr>
      <w:r w:rsidRPr="00C40EA8">
        <w:rPr>
          <w:rFonts w:ascii="Arial" w:hAnsi="Arial" w:cs="Arial"/>
        </w:rPr>
        <w:t>Tupaciguara/MG,</w:t>
      </w:r>
      <w:r w:rsidR="00375A42">
        <w:rPr>
          <w:rFonts w:ascii="Arial" w:hAnsi="Arial" w:cs="Arial"/>
        </w:rPr>
        <w:t xml:space="preserve"> </w:t>
      </w:r>
      <w:bookmarkStart w:id="0" w:name="_GoBack"/>
      <w:bookmarkEnd w:id="0"/>
      <w:r w:rsidR="00375A42">
        <w:rPr>
          <w:rFonts w:ascii="Arial" w:hAnsi="Arial" w:cs="Arial"/>
        </w:rPr>
        <w:t>05</w:t>
      </w:r>
      <w:r w:rsidR="00E90B2F" w:rsidRPr="00C40EA8">
        <w:rPr>
          <w:rFonts w:ascii="Arial" w:hAnsi="Arial" w:cs="Arial"/>
        </w:rPr>
        <w:t xml:space="preserve"> de </w:t>
      </w:r>
      <w:r w:rsidR="00C40EA8" w:rsidRPr="00C40EA8">
        <w:rPr>
          <w:rFonts w:ascii="Arial" w:hAnsi="Arial" w:cs="Arial"/>
        </w:rPr>
        <w:t>Maio</w:t>
      </w:r>
      <w:r w:rsidR="009B022E" w:rsidRPr="00C40EA8">
        <w:rPr>
          <w:rFonts w:ascii="Arial" w:hAnsi="Arial" w:cs="Arial"/>
        </w:rPr>
        <w:t xml:space="preserve"> de 2021</w:t>
      </w:r>
      <w:r w:rsidR="00C87C43" w:rsidRPr="00C40EA8">
        <w:rPr>
          <w:rFonts w:ascii="Arial" w:hAnsi="Arial" w:cs="Arial"/>
        </w:rPr>
        <w:t>.</w:t>
      </w:r>
    </w:p>
    <w:p w:rsidR="00C87C43" w:rsidRDefault="00C87C43" w:rsidP="00C87C43">
      <w:pPr>
        <w:pStyle w:val="NormalWeb"/>
        <w:spacing w:before="0" w:beforeAutospacing="0" w:after="0" w:afterAutospacing="0" w:line="276" w:lineRule="auto"/>
        <w:ind w:right="45" w:firstLine="1210"/>
        <w:jc w:val="center"/>
        <w:rPr>
          <w:rFonts w:ascii="Calibri" w:hAnsi="Calibri"/>
        </w:rPr>
      </w:pPr>
    </w:p>
    <w:p w:rsidR="009B022E" w:rsidRDefault="009B022E" w:rsidP="00C87C43">
      <w:pPr>
        <w:pStyle w:val="NormalWeb"/>
        <w:spacing w:before="0" w:beforeAutospacing="0" w:after="0" w:afterAutospacing="0" w:line="276" w:lineRule="auto"/>
        <w:ind w:right="45" w:firstLine="1210"/>
        <w:jc w:val="center"/>
        <w:rPr>
          <w:rFonts w:ascii="Calibri" w:hAnsi="Calibri"/>
        </w:rPr>
      </w:pPr>
    </w:p>
    <w:p w:rsidR="009B022E" w:rsidRDefault="009B022E" w:rsidP="00C87C43">
      <w:pPr>
        <w:pStyle w:val="NormalWeb"/>
        <w:spacing w:before="0" w:beforeAutospacing="0" w:after="0" w:afterAutospacing="0" w:line="276" w:lineRule="auto"/>
        <w:ind w:right="45" w:firstLine="1210"/>
        <w:jc w:val="center"/>
        <w:rPr>
          <w:rFonts w:ascii="Calibri" w:hAnsi="Calibri"/>
        </w:rPr>
      </w:pPr>
    </w:p>
    <w:p w:rsidR="009B022E" w:rsidRDefault="009B022E" w:rsidP="00C87C43">
      <w:pPr>
        <w:pStyle w:val="NormalWeb"/>
        <w:spacing w:before="0" w:beforeAutospacing="0" w:after="0" w:afterAutospacing="0" w:line="276" w:lineRule="auto"/>
        <w:ind w:right="45" w:firstLine="1210"/>
        <w:jc w:val="center"/>
        <w:rPr>
          <w:rFonts w:ascii="Calibri" w:hAnsi="Calibri"/>
        </w:rPr>
      </w:pPr>
    </w:p>
    <w:p w:rsidR="00C87C43" w:rsidRPr="00C40EA8" w:rsidRDefault="009B022E" w:rsidP="00C87C43">
      <w:pPr>
        <w:pStyle w:val="NormalWeb"/>
        <w:spacing w:before="0" w:beforeAutospacing="0" w:after="0" w:afterAutospacing="0" w:line="276" w:lineRule="auto"/>
        <w:ind w:right="45" w:firstLine="1210"/>
        <w:jc w:val="center"/>
        <w:rPr>
          <w:rFonts w:ascii="Arial" w:hAnsi="Arial" w:cs="Arial"/>
        </w:rPr>
      </w:pPr>
      <w:r w:rsidRPr="00C40EA8">
        <w:rPr>
          <w:rFonts w:ascii="Arial" w:hAnsi="Arial" w:cs="Arial"/>
        </w:rPr>
        <w:t>Francisco Lourenço Borges Neto</w:t>
      </w:r>
    </w:p>
    <w:p w:rsidR="00C87C43" w:rsidRPr="00C40EA8" w:rsidRDefault="00C87C43" w:rsidP="00C87C43">
      <w:pPr>
        <w:pStyle w:val="NormalWeb"/>
        <w:spacing w:before="0" w:beforeAutospacing="0" w:after="0" w:afterAutospacing="0"/>
        <w:ind w:right="45" w:firstLine="1210"/>
        <w:jc w:val="center"/>
        <w:rPr>
          <w:rFonts w:ascii="Arial" w:hAnsi="Arial" w:cs="Arial"/>
        </w:rPr>
      </w:pPr>
      <w:r w:rsidRPr="00C40EA8">
        <w:rPr>
          <w:rFonts w:ascii="Arial" w:hAnsi="Arial" w:cs="Arial"/>
        </w:rPr>
        <w:t>Prefeito Municipal</w:t>
      </w:r>
    </w:p>
    <w:p w:rsidR="00015331" w:rsidRDefault="00015331"/>
    <w:sectPr w:rsidR="00015331" w:rsidSect="000153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43"/>
    <w:rsid w:val="00015331"/>
    <w:rsid w:val="001A1AA8"/>
    <w:rsid w:val="001C1FE3"/>
    <w:rsid w:val="00254AAA"/>
    <w:rsid w:val="002C1990"/>
    <w:rsid w:val="002D4DBE"/>
    <w:rsid w:val="00375A42"/>
    <w:rsid w:val="004A1963"/>
    <w:rsid w:val="00784F88"/>
    <w:rsid w:val="009B022E"/>
    <w:rsid w:val="009E5F81"/>
    <w:rsid w:val="00B20D4D"/>
    <w:rsid w:val="00B50702"/>
    <w:rsid w:val="00BA6F76"/>
    <w:rsid w:val="00C40EA8"/>
    <w:rsid w:val="00C514E1"/>
    <w:rsid w:val="00C87C43"/>
    <w:rsid w:val="00E90B2F"/>
    <w:rsid w:val="00EC0811"/>
    <w:rsid w:val="00FA05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87C43"/>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uiPriority w:val="99"/>
    <w:unhideWhenUsed/>
    <w:rsid w:val="00C87C43"/>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C87C4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B02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B022E"/>
    <w:rPr>
      <w:rFonts w:ascii="Segoe UI" w:eastAsiaTheme="minorEastAsia"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87C43"/>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uiPriority w:val="99"/>
    <w:unhideWhenUsed/>
    <w:rsid w:val="00C87C43"/>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rsid w:val="00C87C4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B02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B022E"/>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3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C98CE-21A8-492C-ABAD-35DCB201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MARIVAINE1</dc:creator>
  <cp:lastModifiedBy>COMPRAS</cp:lastModifiedBy>
  <cp:revision>5</cp:revision>
  <cp:lastPrinted>2021-05-04T18:51:00Z</cp:lastPrinted>
  <dcterms:created xsi:type="dcterms:W3CDTF">2021-05-04T12:48:00Z</dcterms:created>
  <dcterms:modified xsi:type="dcterms:W3CDTF">2021-05-04T18:51:00Z</dcterms:modified>
</cp:coreProperties>
</file>