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457049">
        <w:rPr>
          <w:rFonts w:ascii="Calibri" w:hAnsi="Calibri"/>
          <w:b/>
          <w:szCs w:val="24"/>
        </w:rPr>
        <w:t>59</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para Registro de Preço</w:t>
      </w:r>
      <w:r w:rsidRPr="004A7691">
        <w:rPr>
          <w:rFonts w:ascii="Calibri" w:hAnsi="Calibri"/>
          <w:b/>
          <w:szCs w:val="24"/>
        </w:rPr>
        <w:t xml:space="preserve"> nº. </w:t>
      </w:r>
      <w:r w:rsidR="00F822B3">
        <w:rPr>
          <w:rFonts w:ascii="Calibri" w:hAnsi="Calibri"/>
          <w:b/>
          <w:szCs w:val="24"/>
        </w:rPr>
        <w:t>0</w:t>
      </w:r>
      <w:r w:rsidR="00457049">
        <w:rPr>
          <w:rFonts w:ascii="Calibri" w:hAnsi="Calibri"/>
          <w:b/>
          <w:szCs w:val="24"/>
        </w:rPr>
        <w:t>18</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366F44">
        <w:rPr>
          <w:rFonts w:asciiTheme="minorHAnsi" w:hAnsiTheme="minorHAnsi"/>
          <w:szCs w:val="24"/>
        </w:rPr>
        <w:t>07</w:t>
      </w:r>
      <w:r w:rsidRPr="00AD4A4E">
        <w:rPr>
          <w:rFonts w:asciiTheme="minorHAnsi" w:hAnsiTheme="minorHAnsi"/>
          <w:szCs w:val="24"/>
        </w:rPr>
        <w:t>/</w:t>
      </w:r>
      <w:r w:rsidR="00366F44">
        <w:rPr>
          <w:rFonts w:asciiTheme="minorHAnsi" w:hAnsiTheme="minorHAnsi"/>
          <w:szCs w:val="24"/>
        </w:rPr>
        <w:t>06</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366F44">
        <w:rPr>
          <w:rFonts w:asciiTheme="minorHAnsi" w:hAnsiTheme="minorHAnsi"/>
          <w:szCs w:val="24"/>
        </w:rPr>
        <w:t>08:14</w:t>
      </w:r>
      <w:r w:rsidRPr="00AD4A4E">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366F44">
        <w:rPr>
          <w:rFonts w:asciiTheme="minorHAnsi" w:hAnsiTheme="minorHAnsi"/>
          <w:szCs w:val="24"/>
        </w:rPr>
        <w:t>07/06</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366F44">
        <w:rPr>
          <w:rFonts w:asciiTheme="minorHAnsi" w:hAnsiTheme="minorHAnsi"/>
          <w:szCs w:val="24"/>
        </w:rPr>
        <w:t>08</w:t>
      </w:r>
      <w:r w:rsidRPr="00AD4A4E">
        <w:rPr>
          <w:rFonts w:asciiTheme="minorHAnsi" w:hAnsiTheme="minorHAnsi"/>
          <w:szCs w:val="24"/>
        </w:rPr>
        <w:t>:</w:t>
      </w:r>
      <w:r w:rsidR="00366F44">
        <w:rPr>
          <w:rFonts w:asciiTheme="minorHAnsi" w:hAnsiTheme="minorHAnsi"/>
          <w:szCs w:val="24"/>
        </w:rPr>
        <w:t>15</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D669CB">
        <w:rPr>
          <w:rFonts w:ascii="Calibri" w:hAnsi="Calibri"/>
          <w:b/>
          <w:snapToGrid w:val="0"/>
          <w:szCs w:val="24"/>
        </w:rPr>
        <w:t xml:space="preserve">Registro de Preço para aquisição de </w:t>
      </w:r>
      <w:r w:rsidR="00457049">
        <w:rPr>
          <w:rFonts w:ascii="Calibri" w:hAnsi="Calibri"/>
          <w:b/>
          <w:snapToGrid w:val="0"/>
          <w:szCs w:val="24"/>
        </w:rPr>
        <w:t>carnes de frango para atender os alunos da rede municipal de ensino de Tupaciguara</w:t>
      </w:r>
      <w:r w:rsidR="00D669CB">
        <w:rPr>
          <w:rFonts w:ascii="Calibri" w:hAnsi="Calibri"/>
          <w:b/>
          <w:snapToGrid w:val="0"/>
          <w:szCs w:val="24"/>
        </w:rPr>
        <w:t>, nas quantidades e espe</w:t>
      </w:r>
      <w:r w:rsidR="00264EBA" w:rsidRPr="00264EBA">
        <w:rPr>
          <w:rFonts w:ascii="Calibri" w:hAnsi="Calibri"/>
          <w:b/>
          <w:szCs w:val="24"/>
        </w:rPr>
        <w:t>cificações contidas</w:t>
      </w:r>
      <w:r w:rsidR="00264EBA" w:rsidRPr="00264EBA">
        <w:rPr>
          <w:rFonts w:ascii="Calibri" w:hAnsi="Calibri"/>
          <w:b/>
          <w:color w:val="000000"/>
          <w:szCs w:val="24"/>
        </w:rPr>
        <w:t xml:space="preserve">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 xml:space="preserve">Todos os custos decorrentes da elaboração e apresentação de propostas serão de </w:t>
      </w:r>
      <w:r w:rsidRPr="00295515">
        <w:rPr>
          <w:rFonts w:ascii="Calibri" w:hAnsi="Calibri"/>
          <w:szCs w:val="24"/>
        </w:rPr>
        <w:lastRenderedPageBreak/>
        <w:t>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24 (vinte e quatro) horas.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licitante ou de seu representante legal e a presunção de sua capacidade técnica para </w:t>
      </w:r>
      <w:r w:rsidRPr="00E15DA0">
        <w:rPr>
          <w:rFonts w:ascii="Calibri" w:hAnsi="Calibri"/>
        </w:rPr>
        <w:lastRenderedPageBreak/>
        <w:t>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Pr="00120ACA">
        <w:rPr>
          <w:rFonts w:ascii="Calibri" w:hAnsi="Calibri"/>
          <w:szCs w:val="24"/>
        </w:rPr>
        <w:t>Até a abertura da sessão pública, os licitantes poderão retirar ou substituir a proposta e os documentos de habilitação anteriormente inseridos no sistema;</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classificado somente serão disponibilizados para avaliação do pregoeiro e para acesso público após o </w:t>
      </w:r>
      <w:r w:rsidRPr="00120ACA">
        <w:rPr>
          <w:rFonts w:ascii="Calibri" w:hAnsi="Calibri"/>
          <w:szCs w:val="24"/>
        </w:rPr>
        <w:lastRenderedPageBreak/>
        <w:t>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1365A5" w:rsidRPr="00FE0F48" w:rsidRDefault="001365A5" w:rsidP="001365A5">
      <w:pPr>
        <w:spacing w:line="276" w:lineRule="auto"/>
        <w:jc w:val="both"/>
        <w:rPr>
          <w:rFonts w:ascii="Calibri" w:hAnsi="Calibri"/>
          <w:b/>
        </w:rPr>
      </w:pPr>
      <w:r>
        <w:rPr>
          <w:rFonts w:ascii="Calibri" w:hAnsi="Calibri"/>
        </w:rPr>
        <w:t xml:space="preserve">c) </w:t>
      </w:r>
      <w:r w:rsidR="000E538F">
        <w:rPr>
          <w:rFonts w:ascii="Calibri" w:hAnsi="Calibri"/>
        </w:rPr>
        <w:t>Modelo</w:t>
      </w:r>
      <w:r w:rsidRPr="00FE0F48">
        <w:rPr>
          <w:rFonts w:ascii="Calibri" w:hAnsi="Calibri"/>
        </w:rPr>
        <w:t>;</w:t>
      </w:r>
    </w:p>
    <w:p w:rsidR="000E538F" w:rsidRDefault="001365A5" w:rsidP="001365A5">
      <w:pPr>
        <w:spacing w:line="276" w:lineRule="auto"/>
        <w:jc w:val="both"/>
        <w:rPr>
          <w:rFonts w:ascii="Calibri" w:hAnsi="Calibri"/>
        </w:rPr>
      </w:pPr>
      <w:r>
        <w:rPr>
          <w:rFonts w:ascii="Calibri" w:hAnsi="Calibri"/>
        </w:rPr>
        <w:t>d)</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lastRenderedPageBreak/>
        <w:t>7.</w:t>
      </w:r>
      <w:r w:rsidR="00B63E88">
        <w:rPr>
          <w:rFonts w:ascii="Calibri" w:hAnsi="Calibri"/>
        </w:rPr>
        <w:t>5</w:t>
      </w:r>
      <w:r>
        <w:rPr>
          <w:rFonts w:ascii="Calibri" w:hAnsi="Calibri"/>
        </w:rPr>
        <w:t xml:space="preserve">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1365A5" w:rsidRDefault="001365A5" w:rsidP="001365A5">
      <w:pPr>
        <w:tabs>
          <w:tab w:val="left" w:pos="249"/>
        </w:tabs>
        <w:spacing w:line="276" w:lineRule="auto"/>
        <w:jc w:val="both"/>
        <w:rPr>
          <w:rFonts w:ascii="Calibri" w:hAnsi="Calibri"/>
          <w:szCs w:val="24"/>
        </w:rPr>
      </w:pPr>
      <w:r>
        <w:rPr>
          <w:rFonts w:ascii="Calibri" w:hAnsi="Calibri"/>
          <w:snapToGrid w:val="0"/>
          <w:szCs w:val="24"/>
        </w:rPr>
        <w:t>7.</w:t>
      </w:r>
      <w:r w:rsidR="00B63E88">
        <w:rPr>
          <w:rFonts w:ascii="Calibri" w:hAnsi="Calibri"/>
          <w:snapToGrid w:val="0"/>
          <w:szCs w:val="24"/>
        </w:rPr>
        <w:t>6</w:t>
      </w:r>
      <w:r>
        <w:rPr>
          <w:rFonts w:ascii="Calibri" w:hAnsi="Calibri"/>
          <w:snapToGrid w:val="0"/>
          <w:szCs w:val="24"/>
        </w:rPr>
        <w:t xml:space="preserve"> - </w:t>
      </w:r>
      <w:r>
        <w:rPr>
          <w:rFonts w:ascii="Calibri" w:hAnsi="Calibri"/>
          <w:szCs w:val="24"/>
        </w:rPr>
        <w:t>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C600B9">
        <w:rPr>
          <w:rFonts w:ascii="Calibri" w:hAnsi="Calibri"/>
          <w:szCs w:val="24"/>
        </w:rPr>
        <w:t>será de R$0,01</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 xml:space="preserve">Não havendo novos lances na forma estabelecida nos itens anteriores, a sessão pública </w:t>
      </w:r>
      <w:r w:rsidRPr="00B318CC">
        <w:rPr>
          <w:rFonts w:ascii="Calibri" w:hAnsi="Calibri"/>
          <w:szCs w:val="24"/>
        </w:rPr>
        <w:lastRenderedPageBreak/>
        <w:t>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w:t>
      </w:r>
      <w:r w:rsidRPr="00B318CC">
        <w:rPr>
          <w:rFonts w:ascii="Calibri" w:hAnsi="Calibri"/>
          <w:szCs w:val="24"/>
        </w:rPr>
        <w:lastRenderedPageBreak/>
        <w:t xml:space="preserve">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lastRenderedPageBreak/>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Será desclassificada a proposta ou o lance vencedor, que apresentar preço final superior ao preço máximo fixado,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lastRenderedPageBreak/>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 xml:space="preserve">Não serão aceitos documentos de habilitação com indicação de CNPJ/CPF diferentes, </w:t>
      </w:r>
      <w:r w:rsidRPr="004C1EE1">
        <w:rPr>
          <w:rFonts w:ascii="Calibri" w:hAnsi="Calibri"/>
        </w:rPr>
        <w:lastRenderedPageBreak/>
        <w:t>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lastRenderedPageBreak/>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1365A5" w:rsidRDefault="001365A5" w:rsidP="001365A5">
      <w:pPr>
        <w:spacing w:line="276" w:lineRule="auto"/>
        <w:jc w:val="both"/>
        <w:rPr>
          <w:rFonts w:ascii="Calibri" w:hAnsi="Calibri"/>
        </w:rPr>
      </w:pPr>
      <w:r w:rsidRPr="003F4714">
        <w:rPr>
          <w:rFonts w:ascii="Calibri" w:hAnsi="Calibri"/>
          <w:szCs w:val="24"/>
        </w:rPr>
        <w:t xml:space="preserve">h) </w:t>
      </w:r>
      <w:r w:rsidRPr="00B63E88">
        <w:rPr>
          <w:rFonts w:ascii="Calibri" w:hAnsi="Calibri"/>
        </w:rPr>
        <w:t xml:space="preserve">Certidão Simplificada, </w:t>
      </w:r>
      <w:r w:rsidRPr="00B63E88">
        <w:rPr>
          <w:rFonts w:ascii="Calibri" w:hAnsi="Calibri"/>
          <w:u w:val="single"/>
        </w:rPr>
        <w:t>Ou</w:t>
      </w:r>
      <w:r w:rsidRPr="00B63E88">
        <w:rPr>
          <w:rFonts w:ascii="Calibri" w:hAnsi="Calibri"/>
        </w:rPr>
        <w:t xml:space="preserve"> Simplificada Digital da Junta Comercial, com data de emissão máxima de 90 (Noventa) dias, para fins de comprovação da condição de Microempresas (ME), Empresas de Pequeno Porte (EPP)</w:t>
      </w:r>
      <w:r w:rsidR="00B63E88">
        <w:rPr>
          <w:rFonts w:ascii="Calibri" w:hAnsi="Calibri"/>
        </w:rPr>
        <w:t>, quando for o caso, conforme disposição do art. 3º da Instrução</w:t>
      </w:r>
      <w:r w:rsidR="006E2BA9">
        <w:rPr>
          <w:rFonts w:ascii="Calibri" w:hAnsi="Calibri"/>
        </w:rPr>
        <w:t xml:space="preserve"> Normativa do Departamento Nacional de Registro do Comércio – DNRC nº 36, de 03/03/2017.</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5212ED" w:rsidRDefault="005212ED" w:rsidP="005212ED">
      <w:pPr>
        <w:spacing w:line="276" w:lineRule="auto"/>
        <w:jc w:val="both"/>
        <w:rPr>
          <w:rFonts w:ascii="Calibri" w:hAnsi="Calibri"/>
          <w:b/>
          <w:szCs w:val="24"/>
        </w:rPr>
      </w:pPr>
      <w:r>
        <w:rPr>
          <w:rFonts w:ascii="Calibri" w:hAnsi="Calibri"/>
          <w:b/>
          <w:szCs w:val="24"/>
        </w:rPr>
        <w:t>10.13.4 – Qualificação Técnica</w:t>
      </w:r>
    </w:p>
    <w:p w:rsidR="005212ED" w:rsidRDefault="003C4CF6" w:rsidP="005212ED">
      <w:pPr>
        <w:spacing w:line="276" w:lineRule="auto"/>
        <w:jc w:val="both"/>
        <w:rPr>
          <w:rFonts w:ascii="Calibri" w:hAnsi="Calibri"/>
          <w:szCs w:val="24"/>
        </w:rPr>
      </w:pPr>
      <w:r>
        <w:rPr>
          <w:rFonts w:ascii="Calibri" w:hAnsi="Calibri"/>
          <w:szCs w:val="24"/>
        </w:rPr>
        <w:t>a</w:t>
      </w:r>
      <w:r w:rsidR="005212ED" w:rsidRPr="006E2BA9">
        <w:rPr>
          <w:rFonts w:ascii="Calibri" w:hAnsi="Calibri"/>
          <w:szCs w:val="24"/>
        </w:rPr>
        <w:t>) Alvará Sanitário (ou Licença Sanitária) da empresa licitante, expedido pela Vigilância Sanitária Estadual ou Municipal da sede do licitante, vigente</w:t>
      </w:r>
      <w:r w:rsidR="006E2BA9" w:rsidRPr="006E2BA9">
        <w:rPr>
          <w:rFonts w:ascii="Calibri" w:hAnsi="Calibri"/>
          <w:szCs w:val="24"/>
        </w:rPr>
        <w:t>,</w:t>
      </w:r>
      <w:r>
        <w:rPr>
          <w:rFonts w:ascii="Calibri" w:hAnsi="Calibri"/>
          <w:szCs w:val="24"/>
        </w:rPr>
        <w:t xml:space="preserve"> compatível ao objeto licitado.</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1365A5" w:rsidRDefault="006E2BA9" w:rsidP="001365A5">
      <w:pPr>
        <w:spacing w:line="276" w:lineRule="auto"/>
        <w:jc w:val="both"/>
        <w:rPr>
          <w:rFonts w:ascii="Calibri" w:hAnsi="Calibri"/>
          <w:szCs w:val="24"/>
        </w:rPr>
      </w:pPr>
      <w:r>
        <w:rPr>
          <w:rFonts w:ascii="Calibri" w:hAnsi="Calibri"/>
          <w:szCs w:val="24"/>
        </w:rPr>
        <w:t>c</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w:t>
      </w:r>
      <w:r w:rsidRPr="00D96BFA">
        <w:rPr>
          <w:rFonts w:ascii="Calibri" w:hAnsi="Calibri"/>
        </w:rPr>
        <w:lastRenderedPageBreak/>
        <w:t>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1365A5" w:rsidRPr="00D96BFA" w:rsidRDefault="002378A0" w:rsidP="001365A5">
      <w:pPr>
        <w:spacing w:line="276" w:lineRule="auto"/>
        <w:jc w:val="both"/>
        <w:rPr>
          <w:rFonts w:ascii="Calibri" w:hAnsi="Calibri"/>
        </w:rPr>
      </w:pPr>
      <w:r>
        <w:rPr>
          <w:rFonts w:ascii="Calibri" w:hAnsi="Calibri"/>
        </w:rPr>
        <w:t>10.17</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34271B"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34271B"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34271B"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34271B"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34271B"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w:t>
      </w:r>
      <w:r w:rsidRPr="004A7691">
        <w:rPr>
          <w:rFonts w:ascii="Calibri" w:hAnsi="Calibri"/>
          <w:szCs w:val="24"/>
        </w:rPr>
        <w:lastRenderedPageBreak/>
        <w:t xml:space="preserve">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w:t>
      </w:r>
      <w:r w:rsidRPr="00F64E00">
        <w:rPr>
          <w:rFonts w:ascii="Calibri" w:hAnsi="Calibri"/>
        </w:rPr>
        <w:lastRenderedPageBreak/>
        <w:t>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622740" w:rsidRPr="004A7691" w:rsidRDefault="00622740" w:rsidP="00622740">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w:t>
      </w:r>
      <w:r>
        <w:rPr>
          <w:rFonts w:ascii="Calibri" w:hAnsi="Calibri"/>
          <w:snapToGrid w:val="0"/>
          <w:szCs w:val="24"/>
        </w:rPr>
        <w:lastRenderedPageBreak/>
        <w:t>Ata de Registro de Preço.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622740"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 e Decreto Federal 10.024/2019.</w:t>
      </w:r>
    </w:p>
    <w:p w:rsidR="001365A5" w:rsidRPr="004A7691" w:rsidRDefault="001365A5" w:rsidP="001365A5">
      <w:pPr>
        <w:spacing w:line="276" w:lineRule="auto"/>
        <w:jc w:val="both"/>
        <w:rPr>
          <w:rFonts w:ascii="Calibri" w:hAnsi="Calibri"/>
          <w:snapToGrid w:val="0"/>
          <w:szCs w:val="24"/>
        </w:rPr>
      </w:pPr>
    </w:p>
    <w:p w:rsidR="00622740" w:rsidRPr="004225D7" w:rsidRDefault="00622740" w:rsidP="00622740">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14.2 poderá ser prorrogado uma vez, por igual período, quando solicitado pela licitante vencedora, durante o seu transcurso e desde que ocorra motivo justificado aceito pela Administração Municipal.</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 xml:space="preserve">b) quando comprovada a ocorrência de qualquer das hipóteses contidas no art. 78, incisos </w:t>
      </w:r>
      <w:r w:rsidRPr="004225D7">
        <w:rPr>
          <w:rFonts w:asciiTheme="minorHAnsi" w:eastAsia="ArialMT" w:hAnsiTheme="minorHAnsi" w:cs="ArialMT"/>
          <w:lang w:eastAsia="en-US"/>
        </w:rPr>
        <w:lastRenderedPageBreak/>
        <w:t>XIV, XV e XVI, da Lei nº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1365A5" w:rsidRPr="004A7691" w:rsidRDefault="001365A5" w:rsidP="001365A5">
      <w:pPr>
        <w:tabs>
          <w:tab w:val="left" w:pos="709"/>
        </w:tabs>
        <w:spacing w:line="276" w:lineRule="auto"/>
        <w:jc w:val="both"/>
        <w:rPr>
          <w:rFonts w:ascii="Calibri" w:hAnsi="Calibri"/>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1365A5" w:rsidRPr="004A7691" w:rsidRDefault="001365A5" w:rsidP="001365A5">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365A5" w:rsidRPr="004A7691" w:rsidRDefault="001365A5" w:rsidP="001365A5">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1365A5" w:rsidRPr="00A70BEB"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1365A5" w:rsidRPr="004A7691"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365A5" w:rsidRPr="004A7691" w:rsidRDefault="001365A5" w:rsidP="001365A5">
      <w:pPr>
        <w:pStyle w:val="PargrafodaLista"/>
        <w:spacing w:after="0"/>
        <w:ind w:left="0"/>
        <w:jc w:val="both"/>
        <w:rPr>
          <w:sz w:val="24"/>
          <w:szCs w:val="24"/>
        </w:rPr>
      </w:pPr>
      <w:r w:rsidRPr="004A7691">
        <w:rPr>
          <w:sz w:val="24"/>
          <w:szCs w:val="24"/>
        </w:rPr>
        <w:lastRenderedPageBreak/>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1365A5" w:rsidRPr="004A7691" w:rsidRDefault="001365A5" w:rsidP="001365A5">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1365A5" w:rsidRPr="004A7691" w:rsidRDefault="001365A5" w:rsidP="001365A5">
      <w:pPr>
        <w:spacing w:line="276" w:lineRule="auto"/>
        <w:jc w:val="both"/>
        <w:rPr>
          <w:rFonts w:ascii="Calibri" w:hAnsi="Calibri"/>
          <w:szCs w:val="24"/>
        </w:rPr>
      </w:pPr>
      <w:r>
        <w:rPr>
          <w:rFonts w:ascii="Calibri" w:hAnsi="Calibri"/>
          <w:szCs w:val="24"/>
        </w:rPr>
        <w:t>16.22 – Constar em nota fiscal, dados bancários para pagamento.</w:t>
      </w:r>
    </w:p>
    <w:p w:rsidR="001365A5" w:rsidRDefault="001365A5" w:rsidP="001365A5">
      <w:pPr>
        <w:tabs>
          <w:tab w:val="left" w:pos="709"/>
        </w:tabs>
        <w:spacing w:line="276" w:lineRule="auto"/>
        <w:jc w:val="both"/>
        <w:rPr>
          <w:rFonts w:ascii="Calibri" w:hAnsi="Calibri"/>
          <w:b/>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1365A5"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 xml:space="preserve">.1 </w:t>
      </w:r>
      <w:r w:rsidR="007B274C">
        <w:rPr>
          <w:rFonts w:ascii="Calibri" w:hAnsi="Calibri"/>
          <w:snapToGrid w:val="0"/>
          <w:szCs w:val="24"/>
        </w:rPr>
        <w:t>–</w:t>
      </w:r>
      <w:r w:rsidRPr="004A7691">
        <w:rPr>
          <w:rFonts w:ascii="Calibri" w:hAnsi="Calibri"/>
          <w:snapToGrid w:val="0"/>
          <w:szCs w:val="24"/>
        </w:rPr>
        <w:t xml:space="preserve"> </w:t>
      </w:r>
      <w:r w:rsidR="007B274C">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contratuais, os acréscimos ou supressões que se fizerem nas quantidades do objeto da presente licitação, até 25% (vinte e cinco por cento) do valor da contratação.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3C4CF6">
        <w:rPr>
          <w:rFonts w:ascii="Calibri" w:hAnsi="Calibri"/>
          <w:b/>
          <w:szCs w:val="24"/>
        </w:rPr>
        <w:t>05</w:t>
      </w:r>
      <w:r>
        <w:rPr>
          <w:rFonts w:ascii="Calibri" w:hAnsi="Calibri"/>
          <w:b/>
          <w:szCs w:val="24"/>
        </w:rPr>
        <w:t xml:space="preserve"> dias</w:t>
      </w:r>
      <w:r>
        <w:rPr>
          <w:rFonts w:ascii="Calibri" w:hAnsi="Calibri"/>
          <w:szCs w:val="24"/>
        </w:rPr>
        <w:t>, após o recebimento da ACS no Almoxarifado Interno</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Praça Antônio Alves de Faria s/</w:t>
      </w:r>
      <w:proofErr w:type="gramStart"/>
      <w:r>
        <w:rPr>
          <w:rFonts w:ascii="Calibri" w:hAnsi="Calibri"/>
          <w:szCs w:val="24"/>
        </w:rPr>
        <w:t>nº.,</w:t>
      </w:r>
      <w:proofErr w:type="gramEnd"/>
      <w:r>
        <w:rPr>
          <w:rFonts w:ascii="Calibri" w:hAnsi="Calibri"/>
          <w:szCs w:val="24"/>
        </w:rPr>
        <w:t xml:space="preserve"> Bairro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w:t>
      </w:r>
      <w:r w:rsidR="00A12773">
        <w:rPr>
          <w:rFonts w:ascii="Calibri" w:hAnsi="Calibri"/>
          <w:szCs w:val="24"/>
        </w:rPr>
        <w:t>S</w:t>
      </w:r>
      <w:r>
        <w:rPr>
          <w:rFonts w:ascii="Calibri" w:hAnsi="Calibri"/>
          <w:szCs w:val="24"/>
        </w:rPr>
        <w:t>ecretaria</w:t>
      </w:r>
      <w:r w:rsidR="00A12773">
        <w:rPr>
          <w:rFonts w:ascii="Calibri" w:hAnsi="Calibri"/>
          <w:szCs w:val="24"/>
        </w:rPr>
        <w:t xml:space="preserve"> de Educação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w:t>
      </w:r>
      <w:r>
        <w:rPr>
          <w:rFonts w:ascii="Calibri" w:hAnsi="Calibri"/>
          <w:szCs w:val="24"/>
        </w:rPr>
        <w:lastRenderedPageBreak/>
        <w:t xml:space="preserve">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w:t>
      </w:r>
      <w:r w:rsidRPr="004A7691">
        <w:rPr>
          <w:rFonts w:ascii="Calibri" w:hAnsi="Calibri"/>
          <w:snapToGrid w:val="0"/>
          <w:szCs w:val="24"/>
        </w:rPr>
        <w:lastRenderedPageBreak/>
        <w:t xml:space="preserve">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7B274C" w:rsidRDefault="00A12773" w:rsidP="007B274C">
      <w:pPr>
        <w:spacing w:line="276" w:lineRule="auto"/>
        <w:jc w:val="both"/>
        <w:rPr>
          <w:rFonts w:ascii="Calibri" w:hAnsi="Calibri"/>
          <w:b/>
          <w:szCs w:val="24"/>
        </w:rPr>
      </w:pPr>
      <w:r>
        <w:rPr>
          <w:rFonts w:ascii="Calibri" w:hAnsi="Calibri"/>
          <w:b/>
          <w:szCs w:val="24"/>
        </w:rPr>
        <w:t>02.03.02.12.361.0004.20039.3.3.90.30 – Material de Consumo – Ficha 161 – 01.0044.0044.0044</w:t>
      </w:r>
    </w:p>
    <w:p w:rsidR="00A12773" w:rsidRDefault="00A12773" w:rsidP="007B274C">
      <w:pPr>
        <w:spacing w:line="276" w:lineRule="auto"/>
        <w:jc w:val="both"/>
        <w:rPr>
          <w:rFonts w:ascii="Calibri" w:hAnsi="Calibri"/>
          <w:b/>
          <w:szCs w:val="24"/>
        </w:rPr>
      </w:pPr>
      <w:r>
        <w:rPr>
          <w:rFonts w:ascii="Calibri" w:hAnsi="Calibri"/>
          <w:b/>
          <w:szCs w:val="24"/>
        </w:rPr>
        <w:t>02.03.02.12.361.0004.20039.3.3.90.30 – Material de Consumo – Ficha 161 – 01.0000.0000.0000</w:t>
      </w:r>
    </w:p>
    <w:p w:rsidR="001365A5" w:rsidRDefault="001365A5" w:rsidP="001365A5">
      <w:pPr>
        <w:spacing w:line="276" w:lineRule="auto"/>
        <w:jc w:val="both"/>
        <w:rPr>
          <w:rFonts w:ascii="Calibri" w:hAnsi="Calibri"/>
          <w:b/>
          <w:bCs/>
          <w:szCs w:val="24"/>
        </w:rPr>
      </w:pPr>
    </w:p>
    <w:p w:rsidR="007B274C" w:rsidRPr="00C475C4" w:rsidRDefault="007B274C" w:rsidP="007B274C">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7B274C" w:rsidRPr="00C475C4" w:rsidRDefault="007B274C" w:rsidP="007B274C">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7B274C" w:rsidRPr="00C475C4" w:rsidRDefault="007B274C" w:rsidP="007B274C">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w:t>
      </w:r>
      <w:r w:rsidR="006B20C6">
        <w:rPr>
          <w:rFonts w:asciiTheme="minorHAnsi" w:hAnsiTheme="minorHAnsi"/>
        </w:rPr>
        <w:t>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7B274C" w:rsidRPr="00C475C4" w:rsidRDefault="007B274C" w:rsidP="007B274C">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7B274C" w:rsidRPr="00C475C4" w:rsidRDefault="007B274C" w:rsidP="007B274C">
      <w:pPr>
        <w:spacing w:line="276" w:lineRule="auto"/>
        <w:jc w:val="both"/>
        <w:rPr>
          <w:rFonts w:asciiTheme="minorHAnsi" w:hAnsiTheme="minorHAnsi"/>
        </w:rPr>
      </w:pPr>
      <w:r>
        <w:rPr>
          <w:rFonts w:asciiTheme="minorHAnsi" w:hAnsiTheme="minorHAnsi"/>
        </w:rPr>
        <w:t>23.4 - O Pregoeiro</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7B274C" w:rsidRPr="00555198" w:rsidRDefault="007B274C" w:rsidP="007B274C">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w:t>
      </w:r>
      <w:r w:rsidR="006B20C6">
        <w:rPr>
          <w:rFonts w:asciiTheme="minorHAnsi" w:hAnsiTheme="minorHAnsi"/>
        </w:rPr>
        <w:t>caso a empresa comprove mediante documentos fiscais de compra dos insumos, a necessidade do reequilíbrio.</w:t>
      </w:r>
    </w:p>
    <w:p w:rsidR="007B274C" w:rsidRPr="00C475C4" w:rsidRDefault="007B274C" w:rsidP="007B274C">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Pregoeir</w:t>
      </w:r>
      <w:r>
        <w:rPr>
          <w:rFonts w:asciiTheme="minorHAnsi" w:hAnsiTheme="minorHAnsi"/>
        </w:rPr>
        <w:t>o</w:t>
      </w:r>
      <w:r w:rsidRPr="00C475C4">
        <w:rPr>
          <w:rFonts w:asciiTheme="minorHAnsi" w:hAnsiTheme="minorHAnsi"/>
        </w:rPr>
        <w:t xml:space="preserve"> solicitará ao fornecedor, mediante correspondência, redução do preço registrado, de forma a adequá-lo aos níveis definidos no subitem anterior. </w:t>
      </w:r>
    </w:p>
    <w:p w:rsidR="007B274C" w:rsidRPr="00C475C4" w:rsidRDefault="007B274C" w:rsidP="007B274C">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7B274C" w:rsidRPr="00C475C4" w:rsidRDefault="007B274C" w:rsidP="007B274C">
      <w:pPr>
        <w:spacing w:line="276" w:lineRule="auto"/>
        <w:jc w:val="both"/>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trata nos subitens anteriores, o Pregoeiro</w:t>
      </w:r>
      <w:r w:rsidRPr="00C475C4">
        <w:rPr>
          <w:rFonts w:asciiTheme="minorHAnsi" w:hAnsiTheme="minorHAnsi"/>
        </w:rPr>
        <w:t xml:space="preserve"> procederá a revogação da ata, promovendo a compra por outros meios licitatórios.</w:t>
      </w:r>
    </w:p>
    <w:p w:rsidR="007B274C" w:rsidRDefault="007B274C"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2</w:t>
      </w:r>
      <w:r w:rsidR="007B274C">
        <w:rPr>
          <w:rFonts w:ascii="Calibri" w:hAnsi="Calibri"/>
          <w:b/>
          <w:bCs/>
          <w:szCs w:val="24"/>
        </w:rPr>
        <w:t>4</w:t>
      </w:r>
      <w:r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w:t>
      </w:r>
      <w:r w:rsidRPr="004A7691">
        <w:rPr>
          <w:rFonts w:ascii="Calibri" w:hAnsi="Calibri"/>
          <w:bCs/>
          <w:szCs w:val="24"/>
        </w:rPr>
        <w:lastRenderedPageBreak/>
        <w:t>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7B274C">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7B274C">
        <w:rPr>
          <w:rFonts w:ascii="Calibri" w:hAnsi="Calibri"/>
          <w:bCs/>
          <w:szCs w:val="24"/>
        </w:rPr>
        <w:t>4</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7B274C">
        <w:rPr>
          <w:rFonts w:ascii="Calibri" w:hAnsi="Calibri"/>
        </w:rPr>
        <w:t>4</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7B274C">
        <w:rPr>
          <w:rFonts w:ascii="Calibri" w:hAnsi="Calibri"/>
          <w:szCs w:val="24"/>
        </w:rPr>
        <w:t>4</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w:t>
      </w:r>
      <w:r>
        <w:rPr>
          <w:rFonts w:ascii="Calibri" w:hAnsi="Calibri"/>
          <w:szCs w:val="24"/>
        </w:rPr>
        <w:lastRenderedPageBreak/>
        <w:t xml:space="preserve">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Pr="004A7691"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366F44">
        <w:rPr>
          <w:rFonts w:ascii="Calibri" w:hAnsi="Calibri"/>
          <w:snapToGrid w:val="0"/>
          <w:szCs w:val="24"/>
        </w:rPr>
        <w:t>19</w:t>
      </w:r>
      <w:r>
        <w:rPr>
          <w:rFonts w:ascii="Calibri" w:hAnsi="Calibri"/>
          <w:snapToGrid w:val="0"/>
          <w:szCs w:val="24"/>
        </w:rPr>
        <w:t xml:space="preserve"> de </w:t>
      </w:r>
      <w:r w:rsidR="00366F44">
        <w:rPr>
          <w:rFonts w:ascii="Calibri" w:hAnsi="Calibri"/>
          <w:snapToGrid w:val="0"/>
          <w:szCs w:val="24"/>
        </w:rPr>
        <w:t>Maio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A12773" w:rsidRDefault="00A12773"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BC474B" w:rsidRDefault="00F15C75" w:rsidP="00E5135F">
      <w:pPr>
        <w:spacing w:line="276" w:lineRule="auto"/>
        <w:jc w:val="both"/>
        <w:rPr>
          <w:rFonts w:ascii="Calibri" w:hAnsi="Calibri"/>
          <w:color w:val="000000"/>
          <w:szCs w:val="24"/>
        </w:rPr>
      </w:pPr>
      <w:r w:rsidRPr="00F15C75">
        <w:rPr>
          <w:rFonts w:ascii="Calibri" w:hAnsi="Calibri"/>
          <w:snapToGrid w:val="0"/>
          <w:szCs w:val="24"/>
        </w:rPr>
        <w:t xml:space="preserve">Registro de Preço para aquisição de </w:t>
      </w:r>
      <w:r w:rsidR="00A12773">
        <w:rPr>
          <w:rFonts w:ascii="Calibri" w:hAnsi="Calibri"/>
          <w:snapToGrid w:val="0"/>
          <w:szCs w:val="24"/>
        </w:rPr>
        <w:t>carnes de frango para atender os alunos da rede municipal de ensino de Tupaciguara</w:t>
      </w:r>
      <w:r w:rsidRPr="00F15C75">
        <w:rPr>
          <w:rFonts w:ascii="Calibri" w:hAnsi="Calibri"/>
          <w:snapToGrid w:val="0"/>
          <w:szCs w:val="24"/>
        </w:rPr>
        <w:t>, nas quantidades e espe</w:t>
      </w:r>
      <w:r w:rsidRPr="00F15C75">
        <w:rPr>
          <w:rFonts w:ascii="Calibri" w:hAnsi="Calibri"/>
          <w:szCs w:val="24"/>
        </w:rPr>
        <w:t>cificações contidas</w:t>
      </w:r>
      <w:r w:rsidRPr="00F15C75">
        <w:rPr>
          <w:rFonts w:ascii="Calibri" w:hAnsi="Calibri"/>
          <w:color w:val="000000"/>
          <w:szCs w:val="24"/>
        </w:rPr>
        <w:t xml:space="preserve">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w:t>
      </w:r>
      <w:r w:rsidR="00A12773">
        <w:rPr>
          <w:rFonts w:ascii="Calibri" w:hAnsi="Calibri"/>
          <w:szCs w:val="24"/>
        </w:rPr>
        <w:t>carnes de frango para atender os alunos da rede Municipal de Ensino, visto que no Processo Licitatório nº 021/2021, modalidade Pregão Eletrônico nº 006/2021, objetivando o Registro de Preço para aquisição de Carnes, estes itens foram fracassados por não haver licitante habilitada na Sessão Eletrônica.</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Simples1"/>
        <w:tblW w:w="10225" w:type="dxa"/>
        <w:tblInd w:w="-714" w:type="dxa"/>
        <w:tblLook w:val="04A0" w:firstRow="1" w:lastRow="0" w:firstColumn="1" w:lastColumn="0" w:noHBand="0" w:noVBand="1"/>
      </w:tblPr>
      <w:tblGrid>
        <w:gridCol w:w="1007"/>
        <w:gridCol w:w="973"/>
        <w:gridCol w:w="567"/>
        <w:gridCol w:w="6379"/>
        <w:gridCol w:w="1299"/>
      </w:tblGrid>
      <w:tr w:rsidR="000B1E16" w:rsidRPr="00D95509" w:rsidTr="000B1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D95509" w:rsidRPr="00D95509" w:rsidRDefault="00D95509" w:rsidP="00D95509">
            <w:pPr>
              <w:spacing w:line="276" w:lineRule="auto"/>
              <w:ind w:left="-108"/>
              <w:jc w:val="center"/>
              <w:rPr>
                <w:rFonts w:ascii="Calibri" w:hAnsi="Calibri"/>
                <w:bCs w:val="0"/>
                <w:szCs w:val="24"/>
              </w:rPr>
            </w:pPr>
            <w:r w:rsidRPr="00D95509">
              <w:rPr>
                <w:rFonts w:ascii="Calibri" w:hAnsi="Calibri"/>
                <w:bCs w:val="0"/>
                <w:szCs w:val="24"/>
              </w:rPr>
              <w:t>CÓD</w:t>
            </w:r>
          </w:p>
        </w:tc>
        <w:tc>
          <w:tcPr>
            <w:tcW w:w="973" w:type="dxa"/>
          </w:tcPr>
          <w:p w:rsidR="00D95509" w:rsidRPr="00D95509" w:rsidRDefault="000B1E16" w:rsidP="000B1E1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Pr>
                <w:rFonts w:ascii="Calibri" w:hAnsi="Calibri"/>
                <w:bCs w:val="0"/>
                <w:szCs w:val="24"/>
              </w:rPr>
              <w:t>QUANT</w:t>
            </w:r>
          </w:p>
        </w:tc>
        <w:tc>
          <w:tcPr>
            <w:tcW w:w="567" w:type="dxa"/>
          </w:tcPr>
          <w:p w:rsidR="00D95509" w:rsidRPr="00D95509" w:rsidRDefault="00D95509" w:rsidP="00D9550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sidRPr="00D95509">
              <w:rPr>
                <w:rFonts w:ascii="Calibri" w:hAnsi="Calibri"/>
                <w:bCs w:val="0"/>
                <w:szCs w:val="24"/>
              </w:rPr>
              <w:t>UN</w:t>
            </w:r>
          </w:p>
        </w:tc>
        <w:tc>
          <w:tcPr>
            <w:tcW w:w="6379" w:type="dxa"/>
          </w:tcPr>
          <w:p w:rsidR="00D95509" w:rsidRPr="00D95509" w:rsidRDefault="00D95509" w:rsidP="00D9550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sidRPr="00D95509">
              <w:rPr>
                <w:rFonts w:ascii="Calibri" w:hAnsi="Calibri"/>
                <w:bCs w:val="0"/>
                <w:szCs w:val="24"/>
              </w:rPr>
              <w:t>ESPECIFICAÇÃO</w:t>
            </w:r>
          </w:p>
        </w:tc>
        <w:tc>
          <w:tcPr>
            <w:tcW w:w="1299" w:type="dxa"/>
          </w:tcPr>
          <w:p w:rsidR="00D95509" w:rsidRPr="00D95509" w:rsidRDefault="00D95509" w:rsidP="00D9550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sidRPr="00D95509">
              <w:rPr>
                <w:rFonts w:ascii="Calibri" w:hAnsi="Calibri"/>
                <w:bCs w:val="0"/>
                <w:szCs w:val="24"/>
              </w:rPr>
              <w:t>VALOR ESTIMADO</w:t>
            </w:r>
          </w:p>
        </w:tc>
      </w:tr>
      <w:tr w:rsidR="000B1E16" w:rsidTr="000B1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D95509" w:rsidRDefault="00D95509" w:rsidP="00D95509">
            <w:pPr>
              <w:spacing w:line="276" w:lineRule="auto"/>
              <w:jc w:val="center"/>
              <w:rPr>
                <w:rFonts w:ascii="Calibri" w:hAnsi="Calibri"/>
                <w:b w:val="0"/>
                <w:bCs w:val="0"/>
                <w:szCs w:val="24"/>
              </w:rPr>
            </w:pPr>
            <w:r>
              <w:rPr>
                <w:rFonts w:ascii="Calibri" w:hAnsi="Calibri"/>
                <w:b w:val="0"/>
                <w:bCs w:val="0"/>
                <w:szCs w:val="24"/>
              </w:rPr>
              <w:t>387.445</w:t>
            </w:r>
          </w:p>
        </w:tc>
        <w:tc>
          <w:tcPr>
            <w:tcW w:w="973" w:type="dxa"/>
          </w:tcPr>
          <w:p w:rsidR="00D95509" w:rsidRPr="00D95509" w:rsidRDefault="00D95509" w:rsidP="00D9550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sidRPr="00D95509">
              <w:rPr>
                <w:rFonts w:ascii="Calibri" w:hAnsi="Calibri"/>
                <w:bCs/>
                <w:szCs w:val="24"/>
              </w:rPr>
              <w:t>33.00</w:t>
            </w:r>
            <w:r>
              <w:rPr>
                <w:rFonts w:ascii="Calibri" w:hAnsi="Calibri"/>
                <w:bCs/>
                <w:szCs w:val="24"/>
              </w:rPr>
              <w:t>0</w:t>
            </w:r>
          </w:p>
        </w:tc>
        <w:tc>
          <w:tcPr>
            <w:tcW w:w="567" w:type="dxa"/>
          </w:tcPr>
          <w:p w:rsidR="00D95509" w:rsidRPr="00D95509" w:rsidRDefault="00D95509" w:rsidP="00D9550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D95509" w:rsidRPr="000B1E16" w:rsidRDefault="000B1E16" w:rsidP="000B1E16">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sidRPr="000B1E16">
              <w:rPr>
                <w:rFonts w:ascii="Calibri" w:hAnsi="Calibri"/>
                <w:bCs/>
                <w:szCs w:val="24"/>
              </w:rPr>
              <w:t>Coxa e sobrecoxa de frango c</w:t>
            </w:r>
            <w:r>
              <w:rPr>
                <w:rFonts w:ascii="Calibri" w:hAnsi="Calibri"/>
                <w:bCs/>
                <w:szCs w:val="24"/>
              </w:rPr>
              <w:t>om osso e sem pele; sem tempero</w:t>
            </w:r>
            <w:r w:rsidRPr="000B1E16">
              <w:rPr>
                <w:rFonts w:ascii="Calibri" w:hAnsi="Calibri"/>
                <w:bCs/>
                <w:szCs w:val="24"/>
              </w:rPr>
              <w:t xml:space="preserve"> e inteiras; congelada, transportada e conservada adequadamente; com aspecto, cor, cheiro e sabor próprios; livre de parasitas e de qualquer substância contaminante que possa alterá-lo ou encobrir alterações; produto sujeito a verificação no ato da entrega.</w:t>
            </w:r>
          </w:p>
        </w:tc>
        <w:tc>
          <w:tcPr>
            <w:tcW w:w="1299" w:type="dxa"/>
          </w:tcPr>
          <w:p w:rsidR="00D95509" w:rsidRPr="000B1E16" w:rsidRDefault="000B1E16" w:rsidP="00D9550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R$9,66</w:t>
            </w:r>
          </w:p>
        </w:tc>
      </w:tr>
      <w:tr w:rsidR="000B1E16" w:rsidTr="000B1E16">
        <w:tc>
          <w:tcPr>
            <w:cnfStyle w:val="001000000000" w:firstRow="0" w:lastRow="0" w:firstColumn="1" w:lastColumn="0" w:oddVBand="0" w:evenVBand="0" w:oddHBand="0" w:evenHBand="0" w:firstRowFirstColumn="0" w:firstRowLastColumn="0" w:lastRowFirstColumn="0" w:lastRowLastColumn="0"/>
            <w:tcW w:w="1007" w:type="dxa"/>
          </w:tcPr>
          <w:p w:rsidR="00D95509" w:rsidRDefault="000B1E16" w:rsidP="00D95509">
            <w:pPr>
              <w:spacing w:line="276" w:lineRule="auto"/>
              <w:jc w:val="center"/>
              <w:rPr>
                <w:rFonts w:ascii="Calibri" w:hAnsi="Calibri"/>
                <w:b w:val="0"/>
                <w:bCs w:val="0"/>
                <w:szCs w:val="24"/>
              </w:rPr>
            </w:pPr>
            <w:r>
              <w:rPr>
                <w:rFonts w:ascii="Calibri" w:hAnsi="Calibri"/>
                <w:b w:val="0"/>
                <w:bCs w:val="0"/>
                <w:szCs w:val="24"/>
              </w:rPr>
              <w:t>382.693</w:t>
            </w:r>
          </w:p>
        </w:tc>
        <w:tc>
          <w:tcPr>
            <w:tcW w:w="973" w:type="dxa"/>
          </w:tcPr>
          <w:p w:rsidR="00D95509" w:rsidRPr="000B1E16" w:rsidRDefault="000B1E16" w:rsidP="00D9550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10.000</w:t>
            </w:r>
          </w:p>
        </w:tc>
        <w:tc>
          <w:tcPr>
            <w:tcW w:w="567" w:type="dxa"/>
          </w:tcPr>
          <w:p w:rsidR="00D95509" w:rsidRPr="000B1E16" w:rsidRDefault="000B1E16" w:rsidP="00D9550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D95509" w:rsidRPr="000B1E16" w:rsidRDefault="000B1E16" w:rsidP="000B1E16">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sidRPr="000B1E16">
              <w:rPr>
                <w:rFonts w:ascii="Calibri" w:hAnsi="Calibri"/>
                <w:bCs/>
                <w:szCs w:val="24"/>
              </w:rPr>
              <w:t>Coxa e sobrecoxa de frango,</w:t>
            </w:r>
            <w:r>
              <w:rPr>
                <w:rFonts w:ascii="Calibri" w:hAnsi="Calibri"/>
                <w:bCs/>
                <w:szCs w:val="24"/>
              </w:rPr>
              <w:t xml:space="preserve"> </w:t>
            </w:r>
            <w:r w:rsidRPr="000B1E16">
              <w:rPr>
                <w:rFonts w:ascii="Calibri" w:hAnsi="Calibri"/>
                <w:bCs/>
                <w:szCs w:val="24"/>
              </w:rPr>
              <w:t>sem osso;</w:t>
            </w:r>
            <w:r>
              <w:rPr>
                <w:rFonts w:ascii="Calibri" w:hAnsi="Calibri"/>
                <w:bCs/>
                <w:szCs w:val="24"/>
              </w:rPr>
              <w:t xml:space="preserve"> </w:t>
            </w:r>
            <w:r w:rsidRPr="000B1E16">
              <w:rPr>
                <w:rFonts w:ascii="Calibri" w:hAnsi="Calibri"/>
                <w:bCs/>
                <w:szCs w:val="24"/>
              </w:rPr>
              <w:t>sem pele; sem tempero; transportada e conservada adequadamente; com aspecto, cor, cheiro e sabor próprios; livre de parasitas e de qualquer substância contaminante que possa alterá-lo ou encobrir alterações; produto sujeito a verificação no ato da entrega.</w:t>
            </w:r>
          </w:p>
        </w:tc>
        <w:tc>
          <w:tcPr>
            <w:tcW w:w="1299" w:type="dxa"/>
          </w:tcPr>
          <w:p w:rsidR="00D95509" w:rsidRPr="000B1E16" w:rsidRDefault="000B1E16" w:rsidP="00D9550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R$13,66</w:t>
            </w:r>
          </w:p>
        </w:tc>
      </w:tr>
      <w:tr w:rsidR="000B1E16" w:rsidTr="000B1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D95509" w:rsidRDefault="000B1E16" w:rsidP="00D95509">
            <w:pPr>
              <w:spacing w:line="276" w:lineRule="auto"/>
              <w:jc w:val="center"/>
              <w:rPr>
                <w:rFonts w:ascii="Calibri" w:hAnsi="Calibri"/>
                <w:b w:val="0"/>
                <w:bCs w:val="0"/>
                <w:szCs w:val="24"/>
              </w:rPr>
            </w:pPr>
            <w:r>
              <w:rPr>
                <w:rFonts w:ascii="Calibri" w:hAnsi="Calibri"/>
                <w:b w:val="0"/>
                <w:bCs w:val="0"/>
                <w:szCs w:val="24"/>
              </w:rPr>
              <w:t>035.830</w:t>
            </w:r>
          </w:p>
        </w:tc>
        <w:tc>
          <w:tcPr>
            <w:tcW w:w="973" w:type="dxa"/>
          </w:tcPr>
          <w:p w:rsidR="00D95509" w:rsidRPr="000B1E16" w:rsidRDefault="000B1E16" w:rsidP="00D9550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5.000</w:t>
            </w:r>
          </w:p>
        </w:tc>
        <w:tc>
          <w:tcPr>
            <w:tcW w:w="567" w:type="dxa"/>
          </w:tcPr>
          <w:p w:rsidR="00D95509" w:rsidRPr="000B1E16" w:rsidRDefault="000B1E16" w:rsidP="00D9550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D95509" w:rsidRPr="000B1E16" w:rsidRDefault="000B1E16" w:rsidP="000B1E16">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sidRPr="000B1E16">
              <w:rPr>
                <w:rFonts w:ascii="Calibri" w:hAnsi="Calibri"/>
                <w:bCs/>
                <w:szCs w:val="24"/>
              </w:rPr>
              <w:t>File de frango, congelado, sem osso, sem tempero, transportada e conservada adequadamente, com aspecto, cor, cheiro e sabor próprios, livre de parasitas e de qualquer substância contaminante que possa alterá-lo ou encobrir alterações. Produto sujeito a fiscalização no ato da entrega</w:t>
            </w:r>
          </w:p>
        </w:tc>
        <w:tc>
          <w:tcPr>
            <w:tcW w:w="1299" w:type="dxa"/>
          </w:tcPr>
          <w:p w:rsidR="00D95509" w:rsidRPr="000B1E16" w:rsidRDefault="000B1E16" w:rsidP="00D9550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R$13,66</w:t>
            </w:r>
          </w:p>
        </w:tc>
      </w:tr>
      <w:tr w:rsidR="000B1E16" w:rsidTr="000B1E16">
        <w:tc>
          <w:tcPr>
            <w:cnfStyle w:val="001000000000" w:firstRow="0" w:lastRow="0" w:firstColumn="1" w:lastColumn="0" w:oddVBand="0" w:evenVBand="0" w:oddHBand="0" w:evenHBand="0" w:firstRowFirstColumn="0" w:firstRowLastColumn="0" w:lastRowFirstColumn="0" w:lastRowLastColumn="0"/>
            <w:tcW w:w="1007" w:type="dxa"/>
          </w:tcPr>
          <w:p w:rsidR="00D95509" w:rsidRDefault="000B1E16" w:rsidP="00D95509">
            <w:pPr>
              <w:spacing w:line="276" w:lineRule="auto"/>
              <w:jc w:val="center"/>
              <w:rPr>
                <w:rFonts w:ascii="Calibri" w:hAnsi="Calibri"/>
                <w:b w:val="0"/>
                <w:bCs w:val="0"/>
                <w:szCs w:val="24"/>
              </w:rPr>
            </w:pPr>
            <w:r>
              <w:rPr>
                <w:rFonts w:ascii="Calibri" w:hAnsi="Calibri"/>
                <w:b w:val="0"/>
                <w:bCs w:val="0"/>
                <w:szCs w:val="24"/>
              </w:rPr>
              <w:t>370.434</w:t>
            </w:r>
          </w:p>
        </w:tc>
        <w:tc>
          <w:tcPr>
            <w:tcW w:w="973" w:type="dxa"/>
          </w:tcPr>
          <w:p w:rsidR="00D95509" w:rsidRPr="000B1E16" w:rsidRDefault="000B1E16" w:rsidP="00D9550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sidRPr="000B1E16">
              <w:rPr>
                <w:rFonts w:ascii="Calibri" w:hAnsi="Calibri"/>
                <w:bCs/>
                <w:szCs w:val="24"/>
              </w:rPr>
              <w:t>5.000</w:t>
            </w:r>
          </w:p>
        </w:tc>
        <w:tc>
          <w:tcPr>
            <w:tcW w:w="567" w:type="dxa"/>
          </w:tcPr>
          <w:p w:rsidR="00D95509" w:rsidRPr="000B1E16" w:rsidRDefault="000B1E16" w:rsidP="00D9550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D95509" w:rsidRPr="000B1E16" w:rsidRDefault="000B1E16" w:rsidP="000B1E16">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sidRPr="000B1E16">
              <w:rPr>
                <w:rFonts w:ascii="Calibri" w:hAnsi="Calibri"/>
                <w:bCs/>
                <w:szCs w:val="24"/>
              </w:rPr>
              <w:t>Peito de frango sem osso, congelado, sem tempero, transportada e conservada adequadamente,</w:t>
            </w:r>
            <w:r>
              <w:rPr>
                <w:rFonts w:ascii="Calibri" w:hAnsi="Calibri"/>
                <w:bCs/>
                <w:szCs w:val="24"/>
              </w:rPr>
              <w:t xml:space="preserve"> </w:t>
            </w:r>
            <w:r w:rsidRPr="000B1E16">
              <w:rPr>
                <w:rFonts w:ascii="Calibri" w:hAnsi="Calibri"/>
                <w:bCs/>
                <w:szCs w:val="24"/>
              </w:rPr>
              <w:t>com aspecto, cor, cheiro e sabor próprios, livre de parasitas e de qualquer substância contaminante que possa alterá-lo ou encobrir alterações. Produto sujeito</w:t>
            </w:r>
            <w:r>
              <w:rPr>
                <w:rFonts w:ascii="Calibri" w:hAnsi="Calibri"/>
                <w:bCs/>
                <w:szCs w:val="24"/>
              </w:rPr>
              <w:t xml:space="preserve"> </w:t>
            </w:r>
            <w:r w:rsidRPr="000B1E16">
              <w:rPr>
                <w:rFonts w:ascii="Calibri" w:hAnsi="Calibri"/>
                <w:bCs/>
                <w:szCs w:val="24"/>
              </w:rPr>
              <w:t>a</w:t>
            </w:r>
            <w:r>
              <w:rPr>
                <w:rFonts w:ascii="Calibri" w:hAnsi="Calibri"/>
                <w:bCs/>
                <w:szCs w:val="24"/>
              </w:rPr>
              <w:t xml:space="preserve"> </w:t>
            </w:r>
            <w:r w:rsidRPr="000B1E16">
              <w:rPr>
                <w:rFonts w:ascii="Calibri" w:hAnsi="Calibri"/>
                <w:bCs/>
                <w:szCs w:val="24"/>
              </w:rPr>
              <w:t>fiscalização no ato da entrega</w:t>
            </w:r>
          </w:p>
        </w:tc>
        <w:tc>
          <w:tcPr>
            <w:tcW w:w="1299" w:type="dxa"/>
          </w:tcPr>
          <w:p w:rsidR="00D95509" w:rsidRPr="000B1E16" w:rsidRDefault="000B1E16" w:rsidP="00D9550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R$13,66</w:t>
            </w:r>
          </w:p>
        </w:tc>
      </w:tr>
    </w:tbl>
    <w:p w:rsidR="0045331F" w:rsidRDefault="0045331F" w:rsidP="00D95509">
      <w:pPr>
        <w:spacing w:line="276" w:lineRule="auto"/>
        <w:ind w:left="720"/>
        <w:jc w:val="center"/>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lastRenderedPageBreak/>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0B1E16">
        <w:rPr>
          <w:rFonts w:ascii="Calibri" w:hAnsi="Calibri"/>
          <w:szCs w:val="24"/>
        </w:rPr>
        <w:t>591.980,00</w:t>
      </w:r>
      <w:r w:rsidR="00801DE8">
        <w:rPr>
          <w:rFonts w:ascii="Calibri" w:hAnsi="Calibri"/>
          <w:szCs w:val="24"/>
        </w:rPr>
        <w:t xml:space="preserve"> (</w:t>
      </w:r>
      <w:r w:rsidR="000B1E16">
        <w:rPr>
          <w:rFonts w:ascii="Calibri" w:hAnsi="Calibri"/>
          <w:szCs w:val="24"/>
        </w:rPr>
        <w:t xml:space="preserve">quinhentos </w:t>
      </w:r>
      <w:r w:rsidR="00F17978">
        <w:rPr>
          <w:rFonts w:ascii="Calibri" w:hAnsi="Calibri"/>
          <w:szCs w:val="24"/>
        </w:rPr>
        <w:t xml:space="preserve">e noventa e um mil novecentos e oitenta </w:t>
      </w:r>
      <w:r w:rsidR="00933529">
        <w:rPr>
          <w:rFonts w:ascii="Calibri" w:hAnsi="Calibri"/>
          <w:szCs w:val="24"/>
        </w:rPr>
        <w:t>reais</w:t>
      </w:r>
      <w:r w:rsidR="00CA5A17">
        <w:rPr>
          <w:rFonts w:ascii="Calibri" w:hAnsi="Calibri"/>
          <w:szCs w:val="24"/>
        </w:rPr>
        <w:t>).</w:t>
      </w:r>
      <w:r w:rsidR="00B67C13">
        <w:fldChar w:fldCharType="begin"/>
      </w:r>
      <w:r w:rsidR="00B67C13">
        <w:instrText xml:space="preserve"> HYPERLINK "http://www.planalto.gov.br/ccivil_03/_Ato2011-2014/2012/Decreto/D7724.htm" \l "art20" </w:instrText>
      </w:r>
      <w:r w:rsidR="00B67C13">
        <w:fldChar w:fldCharType="separate"/>
      </w:r>
      <w:r w:rsidR="00B67C13">
        <w:fldChar w:fldCharType="end"/>
      </w:r>
    </w:p>
    <w:p w:rsidR="0045331F" w:rsidRDefault="0045331F" w:rsidP="0045331F">
      <w:pPr>
        <w:pStyle w:val="PargrafodaLista"/>
        <w:spacing w:after="0"/>
        <w:ind w:left="0"/>
        <w:jc w:val="both"/>
        <w:rPr>
          <w:b/>
          <w:sz w:val="24"/>
          <w:szCs w:val="24"/>
        </w:rPr>
      </w:pPr>
    </w:p>
    <w:p w:rsidR="00F17978" w:rsidRDefault="00F17978"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Pr>
          <w:rFonts w:asciiTheme="minorHAnsi" w:hAnsiTheme="minorHAnsi"/>
          <w:sz w:val="24"/>
          <w:szCs w:val="24"/>
        </w:rPr>
        <w:t xml:space="preserve">de </w:t>
      </w:r>
      <w:r w:rsidR="00F17978">
        <w:rPr>
          <w:rFonts w:asciiTheme="minorHAnsi" w:hAnsiTheme="minorHAnsi"/>
          <w:sz w:val="24"/>
          <w:szCs w:val="24"/>
        </w:rPr>
        <w:t>05</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do por cada Secretaria</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CA5A17" w:rsidRPr="00933529" w:rsidRDefault="0045331F" w:rsidP="00933529">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F17978" w:rsidRDefault="00F17978" w:rsidP="00933529">
      <w:pPr>
        <w:pStyle w:val="PargrafodaLista"/>
        <w:spacing w:after="0"/>
        <w:ind w:left="0"/>
        <w:jc w:val="center"/>
        <w:rPr>
          <w:snapToGrid w:val="0"/>
          <w:szCs w:val="24"/>
        </w:rPr>
      </w:pPr>
    </w:p>
    <w:p w:rsidR="00DC2A80" w:rsidRPr="00933529" w:rsidRDefault="00F335D7" w:rsidP="00933529">
      <w:pPr>
        <w:pStyle w:val="PargrafodaLista"/>
        <w:spacing w:after="0"/>
        <w:ind w:left="0"/>
        <w:jc w:val="center"/>
        <w:rPr>
          <w:snapToGrid w:val="0"/>
          <w:szCs w:val="24"/>
        </w:rPr>
      </w:pPr>
      <w:r>
        <w:rPr>
          <w:snapToGrid w:val="0"/>
          <w:szCs w:val="24"/>
        </w:rPr>
        <w:lastRenderedPageBreak/>
        <w:t xml:space="preserve">Tupaciguara/MG, </w:t>
      </w:r>
      <w:r w:rsidR="00366F44">
        <w:rPr>
          <w:snapToGrid w:val="0"/>
          <w:szCs w:val="24"/>
        </w:rPr>
        <w:t>19</w:t>
      </w:r>
      <w:r w:rsidR="0045331F" w:rsidRPr="00A47008">
        <w:rPr>
          <w:snapToGrid w:val="0"/>
          <w:szCs w:val="24"/>
        </w:rPr>
        <w:t xml:space="preserve"> de </w:t>
      </w:r>
      <w:r w:rsidR="00366F44">
        <w:rPr>
          <w:snapToGrid w:val="0"/>
          <w:szCs w:val="24"/>
        </w:rPr>
        <w:t>Maio</w:t>
      </w:r>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CA5A17" w:rsidRDefault="00CA5A17" w:rsidP="004A7691">
      <w:pPr>
        <w:spacing w:line="276" w:lineRule="auto"/>
        <w:jc w:val="center"/>
        <w:rPr>
          <w:rFonts w:ascii="Calibri" w:hAnsi="Calibri"/>
          <w:b/>
          <w:bCs/>
          <w:szCs w:val="24"/>
        </w:rPr>
      </w:pPr>
    </w:p>
    <w:p w:rsidR="00CA5A17" w:rsidRDefault="00933529" w:rsidP="004A7691">
      <w:pPr>
        <w:spacing w:line="276" w:lineRule="auto"/>
        <w:jc w:val="center"/>
        <w:rPr>
          <w:rFonts w:ascii="Calibri" w:hAnsi="Calibri"/>
          <w:b/>
          <w:bCs/>
          <w:szCs w:val="24"/>
        </w:rPr>
      </w:pPr>
      <w:r>
        <w:rPr>
          <w:rFonts w:ascii="Calibri" w:hAnsi="Calibri"/>
          <w:b/>
          <w:bCs/>
          <w:szCs w:val="24"/>
        </w:rPr>
        <w:t>_________________________</w:t>
      </w:r>
    </w:p>
    <w:p w:rsidR="00933529" w:rsidRDefault="00933529" w:rsidP="004A7691">
      <w:pPr>
        <w:spacing w:line="276" w:lineRule="auto"/>
        <w:jc w:val="center"/>
        <w:rPr>
          <w:rFonts w:ascii="Calibri" w:hAnsi="Calibri"/>
          <w:bCs/>
          <w:szCs w:val="24"/>
        </w:rPr>
      </w:pPr>
      <w:r>
        <w:rPr>
          <w:rFonts w:ascii="Calibri" w:hAnsi="Calibri"/>
          <w:bCs/>
          <w:szCs w:val="24"/>
        </w:rPr>
        <w:t>Quênia Lourenço Cardoso</w:t>
      </w:r>
    </w:p>
    <w:p w:rsidR="00933529" w:rsidRDefault="00933529" w:rsidP="004A7691">
      <w:pPr>
        <w:spacing w:line="276" w:lineRule="auto"/>
        <w:jc w:val="center"/>
        <w:rPr>
          <w:rFonts w:ascii="Calibri" w:hAnsi="Calibri"/>
          <w:bCs/>
          <w:szCs w:val="24"/>
        </w:rPr>
      </w:pPr>
      <w:r>
        <w:rPr>
          <w:rFonts w:ascii="Calibri" w:hAnsi="Calibri"/>
          <w:bCs/>
          <w:szCs w:val="24"/>
        </w:rPr>
        <w:t>Secretária Municipal de Educação</w:t>
      </w:r>
    </w:p>
    <w:p w:rsidR="00933529" w:rsidRDefault="00933529"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F17978" w:rsidRDefault="00F17978" w:rsidP="004A7691">
      <w:pPr>
        <w:spacing w:line="276" w:lineRule="auto"/>
        <w:jc w:val="center"/>
        <w:rPr>
          <w:rFonts w:ascii="Calibri" w:hAnsi="Calibri"/>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2906DE" w:rsidRDefault="00EF550A" w:rsidP="002906DE">
      <w:pPr>
        <w:spacing w:line="276" w:lineRule="auto"/>
        <w:jc w:val="center"/>
        <w:rPr>
          <w:rFonts w:ascii="Calibri" w:hAnsi="Calibri"/>
          <w:b/>
          <w:bCs/>
          <w:snapToGrid w:val="0"/>
          <w:szCs w:val="24"/>
        </w:rPr>
      </w:pPr>
      <w:r>
        <w:rPr>
          <w:rFonts w:ascii="Calibri" w:hAnsi="Calibri"/>
          <w:b/>
          <w:bCs/>
          <w:snapToGrid w:val="0"/>
          <w:szCs w:val="24"/>
        </w:rPr>
        <w:lastRenderedPageBreak/>
        <w:t>Anexo V</w:t>
      </w:r>
    </w:p>
    <w:p w:rsidR="002906DE" w:rsidRDefault="002906DE" w:rsidP="002906DE">
      <w:pPr>
        <w:spacing w:line="276" w:lineRule="auto"/>
        <w:jc w:val="center"/>
        <w:rPr>
          <w:rFonts w:ascii="Calibri" w:hAnsi="Calibri"/>
          <w:b/>
          <w:bCs/>
          <w:snapToGrid w:val="0"/>
          <w:szCs w:val="24"/>
        </w:rPr>
      </w:pPr>
    </w:p>
    <w:p w:rsidR="002906DE" w:rsidRPr="009A0486" w:rsidRDefault="002906DE" w:rsidP="002906DE">
      <w:pPr>
        <w:spacing w:line="276" w:lineRule="auto"/>
        <w:jc w:val="center"/>
        <w:rPr>
          <w:rFonts w:ascii="Calibri" w:hAnsi="Calibri"/>
          <w:b/>
          <w:bCs/>
          <w:snapToGrid w:val="0"/>
          <w:szCs w:val="24"/>
        </w:rPr>
      </w:pPr>
      <w:r>
        <w:rPr>
          <w:rFonts w:ascii="Calibri" w:hAnsi="Calibri"/>
          <w:b/>
          <w:bCs/>
          <w:szCs w:val="24"/>
        </w:rPr>
        <w:t>Minuta da Ata de Registro de Preço</w:t>
      </w:r>
    </w:p>
    <w:p w:rsidR="002906DE" w:rsidRPr="00B0593C" w:rsidRDefault="002906DE" w:rsidP="002906DE">
      <w:pPr>
        <w:jc w:val="both"/>
        <w:rPr>
          <w:szCs w:val="24"/>
        </w:rPr>
      </w:pPr>
    </w:p>
    <w:p w:rsidR="002906DE" w:rsidRPr="00403718" w:rsidRDefault="002906DE" w:rsidP="002906DE">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w:t>
      </w:r>
      <w:r w:rsidR="00F17978">
        <w:rPr>
          <w:rFonts w:asciiTheme="minorHAnsi" w:eastAsia="Tahoma" w:hAnsiTheme="minorHAnsi"/>
        </w:rPr>
        <w:t>59/2021</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sidR="00F17978">
        <w:rPr>
          <w:rFonts w:asciiTheme="minorHAnsi" w:eastAsia="Tahoma" w:hAnsiTheme="minorHAnsi"/>
        </w:rPr>
        <w:t>018/2021</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2906DE" w:rsidRPr="004A7691" w:rsidRDefault="002906DE" w:rsidP="002906DE">
      <w:pPr>
        <w:pStyle w:val="Corpodetexto"/>
        <w:tabs>
          <w:tab w:val="left" w:pos="426"/>
        </w:tabs>
        <w:spacing w:line="276" w:lineRule="auto"/>
        <w:rPr>
          <w:rFonts w:ascii="Calibri" w:hAnsi="Calibri" w:cs="Times New Roman"/>
          <w:szCs w:val="24"/>
        </w:rPr>
      </w:pPr>
    </w:p>
    <w:p w:rsidR="002906DE" w:rsidRPr="004A7691" w:rsidRDefault="002906DE" w:rsidP="002906DE">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2906DE" w:rsidRDefault="002906DE" w:rsidP="002906DE">
      <w:pPr>
        <w:spacing w:line="276" w:lineRule="auto"/>
        <w:jc w:val="both"/>
        <w:rPr>
          <w:rFonts w:ascii="Calibri" w:hAnsi="Calibri"/>
          <w:snapToGrid w:val="0"/>
          <w:szCs w:val="24"/>
        </w:rPr>
      </w:pPr>
      <w:r w:rsidRPr="004A7691">
        <w:rPr>
          <w:rFonts w:ascii="Calibri" w:hAnsi="Calibri"/>
          <w:szCs w:val="24"/>
        </w:rPr>
        <w:t xml:space="preserve">2.1 - A </w:t>
      </w:r>
      <w:r w:rsidRPr="004A7691">
        <w:rPr>
          <w:rFonts w:ascii="Calibri" w:hAnsi="Calibri"/>
          <w:snapToGrid w:val="0"/>
          <w:szCs w:val="24"/>
        </w:rPr>
        <w:t xml:space="preserve">presente licitação tem por </w:t>
      </w:r>
      <w:r w:rsidRPr="00CD46D3">
        <w:rPr>
          <w:rFonts w:ascii="Calibri" w:hAnsi="Calibri"/>
          <w:b/>
          <w:color w:val="000000"/>
          <w:szCs w:val="24"/>
        </w:rPr>
        <w:t xml:space="preserve">Registro de preço para aquisição de </w:t>
      </w:r>
      <w:r>
        <w:rPr>
          <w:rFonts w:ascii="Calibri" w:hAnsi="Calibri"/>
          <w:b/>
          <w:color w:val="000000"/>
          <w:szCs w:val="24"/>
        </w:rPr>
        <w:t xml:space="preserve">materiais de higiene e limpeza para atender as necessidades do município, no ano de 2021, </w:t>
      </w:r>
      <w:r>
        <w:rPr>
          <w:rFonts w:ascii="Calibri" w:hAnsi="Calibri"/>
          <w:color w:val="000000"/>
          <w:szCs w:val="24"/>
        </w:rPr>
        <w:t xml:space="preserve">conforme </w:t>
      </w:r>
      <w:r w:rsidRPr="005A4D76">
        <w:rPr>
          <w:rFonts w:ascii="Calibri" w:hAnsi="Calibri"/>
          <w:color w:val="000000"/>
          <w:szCs w:val="24"/>
        </w:rPr>
        <w:t>as quantidades</w:t>
      </w:r>
      <w:r>
        <w:rPr>
          <w:rFonts w:ascii="Calibri" w:hAnsi="Calibri"/>
          <w:color w:val="000000"/>
          <w:szCs w:val="24"/>
        </w:rPr>
        <w:t xml:space="preserve"> e</w:t>
      </w:r>
      <w:r>
        <w:rPr>
          <w:rFonts w:ascii="Calibri" w:hAnsi="Calibri"/>
          <w:snapToGrid w:val="0"/>
          <w:szCs w:val="24"/>
        </w:rPr>
        <w:t xml:space="preserve"> especificações abaixo: </w:t>
      </w:r>
    </w:p>
    <w:p w:rsidR="002906DE" w:rsidRDefault="002906DE" w:rsidP="002906DE">
      <w:pPr>
        <w:spacing w:line="276" w:lineRule="auto"/>
        <w:jc w:val="both"/>
        <w:rPr>
          <w:rFonts w:ascii="Calibri" w:hAnsi="Calibri"/>
          <w:snapToGrid w:val="0"/>
          <w:szCs w:val="24"/>
        </w:rPr>
      </w:pPr>
    </w:p>
    <w:tbl>
      <w:tblPr>
        <w:tblStyle w:val="TabelaSimples1"/>
        <w:tblW w:w="8926" w:type="dxa"/>
        <w:tblInd w:w="-714" w:type="dxa"/>
        <w:tblLook w:val="04A0" w:firstRow="1" w:lastRow="0" w:firstColumn="1" w:lastColumn="0" w:noHBand="0" w:noVBand="1"/>
      </w:tblPr>
      <w:tblGrid>
        <w:gridCol w:w="1007"/>
        <w:gridCol w:w="973"/>
        <w:gridCol w:w="567"/>
        <w:gridCol w:w="6379"/>
      </w:tblGrid>
      <w:tr w:rsidR="00F17978" w:rsidRPr="00D95509" w:rsidTr="00F17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F17978" w:rsidRPr="00D95509" w:rsidRDefault="00F17978" w:rsidP="00AE3349">
            <w:pPr>
              <w:spacing w:line="276" w:lineRule="auto"/>
              <w:ind w:left="-108"/>
              <w:jc w:val="center"/>
              <w:rPr>
                <w:rFonts w:ascii="Calibri" w:hAnsi="Calibri"/>
                <w:bCs w:val="0"/>
                <w:szCs w:val="24"/>
              </w:rPr>
            </w:pPr>
            <w:r w:rsidRPr="00D95509">
              <w:rPr>
                <w:rFonts w:ascii="Calibri" w:hAnsi="Calibri"/>
                <w:bCs w:val="0"/>
                <w:szCs w:val="24"/>
              </w:rPr>
              <w:t>CÓD</w:t>
            </w:r>
          </w:p>
        </w:tc>
        <w:tc>
          <w:tcPr>
            <w:tcW w:w="973" w:type="dxa"/>
          </w:tcPr>
          <w:p w:rsidR="00F17978" w:rsidRPr="00D95509" w:rsidRDefault="00F17978" w:rsidP="00AE334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Pr>
                <w:rFonts w:ascii="Calibri" w:hAnsi="Calibri"/>
                <w:bCs w:val="0"/>
                <w:szCs w:val="24"/>
              </w:rPr>
              <w:t>QUANT</w:t>
            </w:r>
          </w:p>
        </w:tc>
        <w:tc>
          <w:tcPr>
            <w:tcW w:w="567" w:type="dxa"/>
          </w:tcPr>
          <w:p w:rsidR="00F17978" w:rsidRPr="00D95509" w:rsidRDefault="00F17978" w:rsidP="00AE334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sidRPr="00D95509">
              <w:rPr>
                <w:rFonts w:ascii="Calibri" w:hAnsi="Calibri"/>
                <w:bCs w:val="0"/>
                <w:szCs w:val="24"/>
              </w:rPr>
              <w:t>UN</w:t>
            </w:r>
          </w:p>
        </w:tc>
        <w:tc>
          <w:tcPr>
            <w:tcW w:w="6379" w:type="dxa"/>
          </w:tcPr>
          <w:p w:rsidR="00F17978" w:rsidRPr="00D95509" w:rsidRDefault="00F17978" w:rsidP="00AE334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sidRPr="00D95509">
              <w:rPr>
                <w:rFonts w:ascii="Calibri" w:hAnsi="Calibri"/>
                <w:bCs w:val="0"/>
                <w:szCs w:val="24"/>
              </w:rPr>
              <w:t>ESPECIFICAÇÃO</w:t>
            </w:r>
          </w:p>
        </w:tc>
      </w:tr>
      <w:tr w:rsidR="00F17978" w:rsidRPr="000B1E16" w:rsidTr="00F17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F17978" w:rsidRDefault="00F17978" w:rsidP="00AE3349">
            <w:pPr>
              <w:spacing w:line="276" w:lineRule="auto"/>
              <w:jc w:val="center"/>
              <w:rPr>
                <w:rFonts w:ascii="Calibri" w:hAnsi="Calibri"/>
                <w:b w:val="0"/>
                <w:bCs w:val="0"/>
                <w:szCs w:val="24"/>
              </w:rPr>
            </w:pPr>
            <w:r>
              <w:rPr>
                <w:rFonts w:ascii="Calibri" w:hAnsi="Calibri"/>
                <w:b w:val="0"/>
                <w:bCs w:val="0"/>
                <w:szCs w:val="24"/>
              </w:rPr>
              <w:t>387.445</w:t>
            </w:r>
          </w:p>
        </w:tc>
        <w:tc>
          <w:tcPr>
            <w:tcW w:w="973" w:type="dxa"/>
          </w:tcPr>
          <w:p w:rsidR="00F17978" w:rsidRPr="00D95509" w:rsidRDefault="00F17978" w:rsidP="00AE334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sidRPr="00D95509">
              <w:rPr>
                <w:rFonts w:ascii="Calibri" w:hAnsi="Calibri"/>
                <w:bCs/>
                <w:szCs w:val="24"/>
              </w:rPr>
              <w:t>33.00</w:t>
            </w:r>
            <w:r>
              <w:rPr>
                <w:rFonts w:ascii="Calibri" w:hAnsi="Calibri"/>
                <w:bCs/>
                <w:szCs w:val="24"/>
              </w:rPr>
              <w:t>0</w:t>
            </w:r>
          </w:p>
        </w:tc>
        <w:tc>
          <w:tcPr>
            <w:tcW w:w="567" w:type="dxa"/>
          </w:tcPr>
          <w:p w:rsidR="00F17978" w:rsidRPr="00D95509" w:rsidRDefault="00F17978" w:rsidP="00AE334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F17978" w:rsidRPr="000B1E16" w:rsidRDefault="00F17978" w:rsidP="00AE3349">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sidRPr="000B1E16">
              <w:rPr>
                <w:rFonts w:ascii="Calibri" w:hAnsi="Calibri"/>
                <w:bCs/>
                <w:szCs w:val="24"/>
              </w:rPr>
              <w:t>Coxa e sobrecoxa de frango c</w:t>
            </w:r>
            <w:r>
              <w:rPr>
                <w:rFonts w:ascii="Calibri" w:hAnsi="Calibri"/>
                <w:bCs/>
                <w:szCs w:val="24"/>
              </w:rPr>
              <w:t>om osso e sem pele; sem tempero</w:t>
            </w:r>
            <w:r w:rsidRPr="000B1E16">
              <w:rPr>
                <w:rFonts w:ascii="Calibri" w:hAnsi="Calibri"/>
                <w:bCs/>
                <w:szCs w:val="24"/>
              </w:rPr>
              <w:t xml:space="preserve"> e inteiras; congelada, transportada e conservada adequadamente; com aspecto, cor, cheiro e sabor próprios; livre de parasitas e de qualquer substância contaminante que possa alterá-lo ou encobrir alterações; produto sujeito a verificação no ato da entrega.</w:t>
            </w:r>
          </w:p>
        </w:tc>
      </w:tr>
      <w:tr w:rsidR="00F17978" w:rsidRPr="000B1E16" w:rsidTr="00F17978">
        <w:tc>
          <w:tcPr>
            <w:cnfStyle w:val="001000000000" w:firstRow="0" w:lastRow="0" w:firstColumn="1" w:lastColumn="0" w:oddVBand="0" w:evenVBand="0" w:oddHBand="0" w:evenHBand="0" w:firstRowFirstColumn="0" w:firstRowLastColumn="0" w:lastRowFirstColumn="0" w:lastRowLastColumn="0"/>
            <w:tcW w:w="1007" w:type="dxa"/>
          </w:tcPr>
          <w:p w:rsidR="00F17978" w:rsidRDefault="00F17978" w:rsidP="00AE3349">
            <w:pPr>
              <w:spacing w:line="276" w:lineRule="auto"/>
              <w:jc w:val="center"/>
              <w:rPr>
                <w:rFonts w:ascii="Calibri" w:hAnsi="Calibri"/>
                <w:b w:val="0"/>
                <w:bCs w:val="0"/>
                <w:szCs w:val="24"/>
              </w:rPr>
            </w:pPr>
            <w:r>
              <w:rPr>
                <w:rFonts w:ascii="Calibri" w:hAnsi="Calibri"/>
                <w:b w:val="0"/>
                <w:bCs w:val="0"/>
                <w:szCs w:val="24"/>
              </w:rPr>
              <w:t>382.693</w:t>
            </w:r>
          </w:p>
        </w:tc>
        <w:tc>
          <w:tcPr>
            <w:tcW w:w="973" w:type="dxa"/>
          </w:tcPr>
          <w:p w:rsidR="00F17978" w:rsidRPr="000B1E16" w:rsidRDefault="00F17978" w:rsidP="00AE334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10.000</w:t>
            </w:r>
          </w:p>
        </w:tc>
        <w:tc>
          <w:tcPr>
            <w:tcW w:w="567" w:type="dxa"/>
          </w:tcPr>
          <w:p w:rsidR="00F17978" w:rsidRPr="000B1E16" w:rsidRDefault="00F17978" w:rsidP="00AE334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F17978" w:rsidRPr="000B1E16" w:rsidRDefault="00F17978" w:rsidP="00AE3349">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sidRPr="000B1E16">
              <w:rPr>
                <w:rFonts w:ascii="Calibri" w:hAnsi="Calibri"/>
                <w:bCs/>
                <w:szCs w:val="24"/>
              </w:rPr>
              <w:t>Coxa e sobrecoxa de frango,</w:t>
            </w:r>
            <w:r>
              <w:rPr>
                <w:rFonts w:ascii="Calibri" w:hAnsi="Calibri"/>
                <w:bCs/>
                <w:szCs w:val="24"/>
              </w:rPr>
              <w:t xml:space="preserve"> </w:t>
            </w:r>
            <w:r w:rsidRPr="000B1E16">
              <w:rPr>
                <w:rFonts w:ascii="Calibri" w:hAnsi="Calibri"/>
                <w:bCs/>
                <w:szCs w:val="24"/>
              </w:rPr>
              <w:t>sem osso;</w:t>
            </w:r>
            <w:r>
              <w:rPr>
                <w:rFonts w:ascii="Calibri" w:hAnsi="Calibri"/>
                <w:bCs/>
                <w:szCs w:val="24"/>
              </w:rPr>
              <w:t xml:space="preserve"> </w:t>
            </w:r>
            <w:r w:rsidRPr="000B1E16">
              <w:rPr>
                <w:rFonts w:ascii="Calibri" w:hAnsi="Calibri"/>
                <w:bCs/>
                <w:szCs w:val="24"/>
              </w:rPr>
              <w:t>sem pele; sem tempero; transportada e conservada adequadamente; com aspecto, cor, cheiro e sabor próprios; livre de parasitas e de qualquer substância contaminante que possa alterá-lo ou encobrir alterações; produto sujeito a verificação no ato da entrega.</w:t>
            </w:r>
          </w:p>
        </w:tc>
      </w:tr>
      <w:tr w:rsidR="00F17978" w:rsidRPr="000B1E16" w:rsidTr="00F17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F17978" w:rsidRDefault="00F17978" w:rsidP="00AE3349">
            <w:pPr>
              <w:spacing w:line="276" w:lineRule="auto"/>
              <w:jc w:val="center"/>
              <w:rPr>
                <w:rFonts w:ascii="Calibri" w:hAnsi="Calibri"/>
                <w:b w:val="0"/>
                <w:bCs w:val="0"/>
                <w:szCs w:val="24"/>
              </w:rPr>
            </w:pPr>
            <w:r>
              <w:rPr>
                <w:rFonts w:ascii="Calibri" w:hAnsi="Calibri"/>
                <w:b w:val="0"/>
                <w:bCs w:val="0"/>
                <w:szCs w:val="24"/>
              </w:rPr>
              <w:lastRenderedPageBreak/>
              <w:t>035.830</w:t>
            </w:r>
          </w:p>
        </w:tc>
        <w:tc>
          <w:tcPr>
            <w:tcW w:w="973" w:type="dxa"/>
          </w:tcPr>
          <w:p w:rsidR="00F17978" w:rsidRPr="000B1E16" w:rsidRDefault="00F17978" w:rsidP="00AE334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5.000</w:t>
            </w:r>
          </w:p>
        </w:tc>
        <w:tc>
          <w:tcPr>
            <w:tcW w:w="567" w:type="dxa"/>
          </w:tcPr>
          <w:p w:rsidR="00F17978" w:rsidRPr="000B1E16" w:rsidRDefault="00F17978" w:rsidP="00AE334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F17978" w:rsidRPr="000B1E16" w:rsidRDefault="00F17978" w:rsidP="00AE3349">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sidRPr="000B1E16">
              <w:rPr>
                <w:rFonts w:ascii="Calibri" w:hAnsi="Calibri"/>
                <w:bCs/>
                <w:szCs w:val="24"/>
              </w:rPr>
              <w:t>File de frango, congelado, sem osso, sem tempero, transportada e conservada adequadamente, com aspecto, cor, cheiro e sabor próprios, livre de parasitas e de qualquer substância contaminante que possa alterá-lo ou encobrir alterações. Produto sujeito a fiscalização no ato da entrega</w:t>
            </w:r>
          </w:p>
        </w:tc>
      </w:tr>
      <w:tr w:rsidR="00F17978" w:rsidRPr="000B1E16" w:rsidTr="00F17978">
        <w:tc>
          <w:tcPr>
            <w:cnfStyle w:val="001000000000" w:firstRow="0" w:lastRow="0" w:firstColumn="1" w:lastColumn="0" w:oddVBand="0" w:evenVBand="0" w:oddHBand="0" w:evenHBand="0" w:firstRowFirstColumn="0" w:firstRowLastColumn="0" w:lastRowFirstColumn="0" w:lastRowLastColumn="0"/>
            <w:tcW w:w="1007" w:type="dxa"/>
          </w:tcPr>
          <w:p w:rsidR="00F17978" w:rsidRDefault="00F17978" w:rsidP="00AE3349">
            <w:pPr>
              <w:spacing w:line="276" w:lineRule="auto"/>
              <w:jc w:val="center"/>
              <w:rPr>
                <w:rFonts w:ascii="Calibri" w:hAnsi="Calibri"/>
                <w:b w:val="0"/>
                <w:bCs w:val="0"/>
                <w:szCs w:val="24"/>
              </w:rPr>
            </w:pPr>
            <w:r>
              <w:rPr>
                <w:rFonts w:ascii="Calibri" w:hAnsi="Calibri"/>
                <w:b w:val="0"/>
                <w:bCs w:val="0"/>
                <w:szCs w:val="24"/>
              </w:rPr>
              <w:t>370.434</w:t>
            </w:r>
          </w:p>
        </w:tc>
        <w:tc>
          <w:tcPr>
            <w:tcW w:w="973" w:type="dxa"/>
          </w:tcPr>
          <w:p w:rsidR="00F17978" w:rsidRPr="000B1E16" w:rsidRDefault="00F17978" w:rsidP="00AE334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sidRPr="000B1E16">
              <w:rPr>
                <w:rFonts w:ascii="Calibri" w:hAnsi="Calibri"/>
                <w:bCs/>
                <w:szCs w:val="24"/>
              </w:rPr>
              <w:t>5.000</w:t>
            </w:r>
          </w:p>
        </w:tc>
        <w:tc>
          <w:tcPr>
            <w:tcW w:w="567" w:type="dxa"/>
          </w:tcPr>
          <w:p w:rsidR="00F17978" w:rsidRPr="000B1E16" w:rsidRDefault="00F17978" w:rsidP="00AE334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F17978" w:rsidRPr="000B1E16" w:rsidRDefault="00F17978" w:rsidP="00AE3349">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sidRPr="000B1E16">
              <w:rPr>
                <w:rFonts w:ascii="Calibri" w:hAnsi="Calibri"/>
                <w:bCs/>
                <w:szCs w:val="24"/>
              </w:rPr>
              <w:t>Peito de frango sem osso, congelado, sem tempero, transportada e conservada adequadamente,</w:t>
            </w:r>
            <w:r>
              <w:rPr>
                <w:rFonts w:ascii="Calibri" w:hAnsi="Calibri"/>
                <w:bCs/>
                <w:szCs w:val="24"/>
              </w:rPr>
              <w:t xml:space="preserve"> </w:t>
            </w:r>
            <w:r w:rsidRPr="000B1E16">
              <w:rPr>
                <w:rFonts w:ascii="Calibri" w:hAnsi="Calibri"/>
                <w:bCs/>
                <w:szCs w:val="24"/>
              </w:rPr>
              <w:t>com aspecto, cor, cheiro e sabor próprios, livre de parasitas e de qualquer substância contaminante que possa alterá-lo ou encobrir alterações. Produto sujeito</w:t>
            </w:r>
            <w:r>
              <w:rPr>
                <w:rFonts w:ascii="Calibri" w:hAnsi="Calibri"/>
                <w:bCs/>
                <w:szCs w:val="24"/>
              </w:rPr>
              <w:t xml:space="preserve"> </w:t>
            </w:r>
            <w:r w:rsidRPr="000B1E16">
              <w:rPr>
                <w:rFonts w:ascii="Calibri" w:hAnsi="Calibri"/>
                <w:bCs/>
                <w:szCs w:val="24"/>
              </w:rPr>
              <w:t>a</w:t>
            </w:r>
            <w:r>
              <w:rPr>
                <w:rFonts w:ascii="Calibri" w:hAnsi="Calibri"/>
                <w:bCs/>
                <w:szCs w:val="24"/>
              </w:rPr>
              <w:t xml:space="preserve"> </w:t>
            </w:r>
            <w:r w:rsidRPr="000B1E16">
              <w:rPr>
                <w:rFonts w:ascii="Calibri" w:hAnsi="Calibri"/>
                <w:bCs/>
                <w:szCs w:val="24"/>
              </w:rPr>
              <w:t>fiscalização no ato da entrega</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Segunda – Do Prazo</w:t>
      </w:r>
    </w:p>
    <w:p w:rsidR="002906DE" w:rsidRDefault="002906DE" w:rsidP="002906DE">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2906DE" w:rsidRPr="00240808" w:rsidRDefault="002906DE" w:rsidP="002906DE">
      <w:pPr>
        <w:spacing w:line="276" w:lineRule="auto"/>
        <w:jc w:val="both"/>
        <w:rPr>
          <w:rFonts w:ascii="Calibri" w:hAnsi="Calibri"/>
          <w:b/>
          <w:szCs w:val="24"/>
        </w:rPr>
      </w:pPr>
      <w:r>
        <w:rPr>
          <w:rFonts w:ascii="Calibri" w:hAnsi="Calibri"/>
          <w:szCs w:val="24"/>
        </w:rPr>
        <w:t xml:space="preserve">2.2 – O prazo de entrega dos alimentos </w:t>
      </w:r>
      <w:r>
        <w:rPr>
          <w:rFonts w:ascii="Calibri" w:hAnsi="Calibri"/>
          <w:b/>
          <w:szCs w:val="24"/>
        </w:rPr>
        <w:t xml:space="preserve">será de </w:t>
      </w:r>
      <w:r w:rsidR="00F17978">
        <w:rPr>
          <w:rFonts w:ascii="Calibri" w:hAnsi="Calibri"/>
          <w:b/>
          <w:szCs w:val="24"/>
        </w:rPr>
        <w:t>05</w:t>
      </w:r>
      <w:r>
        <w:rPr>
          <w:rFonts w:ascii="Calibri" w:hAnsi="Calibri"/>
          <w:b/>
          <w:szCs w:val="24"/>
        </w:rPr>
        <w:t xml:space="preserve"> (</w:t>
      </w:r>
      <w:r w:rsidR="00F17978">
        <w:rPr>
          <w:rFonts w:ascii="Calibri" w:hAnsi="Calibri"/>
          <w:b/>
          <w:szCs w:val="24"/>
        </w:rPr>
        <w:t>cinco</w:t>
      </w:r>
      <w:r>
        <w:rPr>
          <w:rFonts w:ascii="Calibri" w:hAnsi="Calibri"/>
          <w:b/>
          <w:szCs w:val="24"/>
        </w:rPr>
        <w:t>) dias, após o recebimento da autorização de compras e serviços – ACS.</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2906DE" w:rsidRPr="001013DF" w:rsidRDefault="002906DE" w:rsidP="002906DE">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00F17978">
        <w:rPr>
          <w:rFonts w:ascii="Calibri" w:hAnsi="Calibri"/>
          <w:szCs w:val="24"/>
        </w:rPr>
        <w:t xml:space="preserve"> 05</w:t>
      </w:r>
      <w:r>
        <w:rPr>
          <w:rFonts w:ascii="Calibri" w:hAnsi="Calibri"/>
          <w:b/>
          <w:szCs w:val="24"/>
        </w:rPr>
        <w:t xml:space="preserve"> (</w:t>
      </w:r>
      <w:r w:rsidR="00F17978">
        <w:rPr>
          <w:rFonts w:ascii="Calibri" w:hAnsi="Calibri"/>
          <w:b/>
          <w:szCs w:val="24"/>
        </w:rPr>
        <w:t>cinco</w:t>
      </w:r>
      <w:r>
        <w:rPr>
          <w:rFonts w:ascii="Calibri" w:hAnsi="Calibri"/>
          <w:b/>
          <w:szCs w:val="24"/>
        </w:rPr>
        <w:t>) dias</w:t>
      </w:r>
      <w:r>
        <w:rPr>
          <w:rFonts w:ascii="Calibri" w:hAnsi="Calibri"/>
          <w:szCs w:val="24"/>
        </w:rPr>
        <w:t>, após o recebimento da ACS na Central de Alimentação, na Avenida Antônio Alves Machado, nº 226, Bairro Primavera, CEP 38.480/000 ou em outro local designado pelo contratante, conforme solicitado.</w:t>
      </w:r>
    </w:p>
    <w:p w:rsidR="002906DE" w:rsidRDefault="002906DE" w:rsidP="002906DE">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2906DE" w:rsidRDefault="002906DE" w:rsidP="002906DE">
      <w:pPr>
        <w:spacing w:line="276" w:lineRule="auto"/>
        <w:jc w:val="both"/>
        <w:rPr>
          <w:rFonts w:ascii="Calibri" w:hAnsi="Calibri"/>
          <w:szCs w:val="24"/>
        </w:rPr>
      </w:pPr>
      <w:r>
        <w:rPr>
          <w:rFonts w:ascii="Calibri" w:hAnsi="Calibri"/>
          <w:szCs w:val="24"/>
        </w:rPr>
        <w:t>3.3 - Os produtos deverão ser entregues acondicionados adequadamente em embalagens específicas para o transporte, com cobertura apropriada, garantida as condições de higiene e protegendo as características da matéria prima.</w:t>
      </w:r>
    </w:p>
    <w:p w:rsidR="002906DE" w:rsidRDefault="002906DE" w:rsidP="002906DE">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2906DE" w:rsidRPr="0007786B" w:rsidRDefault="002906DE" w:rsidP="002906DE">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2906DE" w:rsidRPr="00B1550F"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2906DE" w:rsidRPr="004A7691"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2906DE" w:rsidRPr="004A7691"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w:t>
      </w:r>
      <w:r w:rsidRPr="004A7691">
        <w:rPr>
          <w:rFonts w:ascii="Calibri" w:hAnsi="Calibri"/>
          <w:szCs w:val="24"/>
        </w:rPr>
        <w:lastRenderedPageBreak/>
        <w:t>objetivando a imediata correção das irregularidades apontadas.</w:t>
      </w:r>
    </w:p>
    <w:p w:rsidR="002906DE"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2906DE" w:rsidRDefault="002906DE" w:rsidP="002906DE">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sidR="00CB0745">
        <w:rPr>
          <w:rFonts w:ascii="Calibri" w:hAnsi="Calibri"/>
          <w:szCs w:val="24"/>
        </w:rPr>
        <w:t>valor</w:t>
      </w:r>
      <w:r>
        <w:rPr>
          <w:rFonts w:ascii="Calibri" w:hAnsi="Calibri"/>
          <w:szCs w:val="24"/>
        </w:rPr>
        <w:t xml:space="preserve">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r>
        <w:rPr>
          <w:rFonts w:ascii="Calibri" w:hAnsi="Calibri"/>
          <w:szCs w:val="24"/>
        </w:rPr>
        <w:t>a presente ata:</w:t>
      </w:r>
    </w:p>
    <w:p w:rsidR="002906DE" w:rsidRDefault="002906DE" w:rsidP="002906DE">
      <w:pPr>
        <w:spacing w:line="276" w:lineRule="auto"/>
        <w:jc w:val="both"/>
        <w:rPr>
          <w:rFonts w:ascii="Calibri" w:hAnsi="Calibri"/>
          <w:snapToGrid w:val="0"/>
          <w:szCs w:val="24"/>
        </w:rPr>
      </w:pPr>
    </w:p>
    <w:tbl>
      <w:tblPr>
        <w:tblStyle w:val="TabelaSimples1"/>
        <w:tblW w:w="10225" w:type="dxa"/>
        <w:tblInd w:w="-714" w:type="dxa"/>
        <w:tblLook w:val="04A0" w:firstRow="1" w:lastRow="0" w:firstColumn="1" w:lastColumn="0" w:noHBand="0" w:noVBand="1"/>
      </w:tblPr>
      <w:tblGrid>
        <w:gridCol w:w="1008"/>
        <w:gridCol w:w="972"/>
        <w:gridCol w:w="565"/>
        <w:gridCol w:w="6168"/>
        <w:gridCol w:w="1512"/>
      </w:tblGrid>
      <w:tr w:rsidR="00F17978" w:rsidRPr="00D95509" w:rsidTr="00AE3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F17978" w:rsidRPr="00D95509" w:rsidRDefault="00F17978" w:rsidP="00AE3349">
            <w:pPr>
              <w:spacing w:line="276" w:lineRule="auto"/>
              <w:ind w:left="-108"/>
              <w:jc w:val="center"/>
              <w:rPr>
                <w:rFonts w:ascii="Calibri" w:hAnsi="Calibri"/>
                <w:bCs w:val="0"/>
                <w:szCs w:val="24"/>
              </w:rPr>
            </w:pPr>
            <w:r w:rsidRPr="00D95509">
              <w:rPr>
                <w:rFonts w:ascii="Calibri" w:hAnsi="Calibri"/>
                <w:bCs w:val="0"/>
                <w:szCs w:val="24"/>
              </w:rPr>
              <w:t>CÓD</w:t>
            </w:r>
          </w:p>
        </w:tc>
        <w:tc>
          <w:tcPr>
            <w:tcW w:w="973" w:type="dxa"/>
          </w:tcPr>
          <w:p w:rsidR="00F17978" w:rsidRPr="00D95509" w:rsidRDefault="00F17978" w:rsidP="00AE334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Pr>
                <w:rFonts w:ascii="Calibri" w:hAnsi="Calibri"/>
                <w:bCs w:val="0"/>
                <w:szCs w:val="24"/>
              </w:rPr>
              <w:t>QUANT</w:t>
            </w:r>
          </w:p>
        </w:tc>
        <w:tc>
          <w:tcPr>
            <w:tcW w:w="567" w:type="dxa"/>
          </w:tcPr>
          <w:p w:rsidR="00F17978" w:rsidRPr="00D95509" w:rsidRDefault="00F17978" w:rsidP="00AE334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sidRPr="00D95509">
              <w:rPr>
                <w:rFonts w:ascii="Calibri" w:hAnsi="Calibri"/>
                <w:bCs w:val="0"/>
                <w:szCs w:val="24"/>
              </w:rPr>
              <w:t>UN</w:t>
            </w:r>
          </w:p>
        </w:tc>
        <w:tc>
          <w:tcPr>
            <w:tcW w:w="6379" w:type="dxa"/>
          </w:tcPr>
          <w:p w:rsidR="00F17978" w:rsidRPr="00D95509" w:rsidRDefault="00F17978" w:rsidP="00AE334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sidRPr="00D95509">
              <w:rPr>
                <w:rFonts w:ascii="Calibri" w:hAnsi="Calibri"/>
                <w:bCs w:val="0"/>
                <w:szCs w:val="24"/>
              </w:rPr>
              <w:t>ESPECIFICAÇÃO</w:t>
            </w:r>
          </w:p>
        </w:tc>
        <w:tc>
          <w:tcPr>
            <w:tcW w:w="1299" w:type="dxa"/>
          </w:tcPr>
          <w:p w:rsidR="00F17978" w:rsidRPr="00D95509" w:rsidRDefault="00F17978" w:rsidP="00AE334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Cs w:val="24"/>
              </w:rPr>
            </w:pPr>
            <w:r>
              <w:rPr>
                <w:rFonts w:ascii="Calibri" w:hAnsi="Calibri"/>
                <w:bCs w:val="0"/>
                <w:szCs w:val="24"/>
              </w:rPr>
              <w:t>VALOR REGISTRADO</w:t>
            </w:r>
          </w:p>
        </w:tc>
      </w:tr>
      <w:tr w:rsidR="00F17978" w:rsidRPr="000B1E16" w:rsidTr="00AE3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F17978" w:rsidRDefault="00F17978" w:rsidP="00AE3349">
            <w:pPr>
              <w:spacing w:line="276" w:lineRule="auto"/>
              <w:jc w:val="center"/>
              <w:rPr>
                <w:rFonts w:ascii="Calibri" w:hAnsi="Calibri"/>
                <w:b w:val="0"/>
                <w:bCs w:val="0"/>
                <w:szCs w:val="24"/>
              </w:rPr>
            </w:pPr>
            <w:r>
              <w:rPr>
                <w:rFonts w:ascii="Calibri" w:hAnsi="Calibri"/>
                <w:b w:val="0"/>
                <w:bCs w:val="0"/>
                <w:szCs w:val="24"/>
              </w:rPr>
              <w:t>387.445</w:t>
            </w:r>
          </w:p>
        </w:tc>
        <w:tc>
          <w:tcPr>
            <w:tcW w:w="973" w:type="dxa"/>
          </w:tcPr>
          <w:p w:rsidR="00F17978" w:rsidRPr="00D95509" w:rsidRDefault="00F17978" w:rsidP="00AE334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sidRPr="00D95509">
              <w:rPr>
                <w:rFonts w:ascii="Calibri" w:hAnsi="Calibri"/>
                <w:bCs/>
                <w:szCs w:val="24"/>
              </w:rPr>
              <w:t>33.00</w:t>
            </w:r>
            <w:r>
              <w:rPr>
                <w:rFonts w:ascii="Calibri" w:hAnsi="Calibri"/>
                <w:bCs/>
                <w:szCs w:val="24"/>
              </w:rPr>
              <w:t>0</w:t>
            </w:r>
          </w:p>
        </w:tc>
        <w:tc>
          <w:tcPr>
            <w:tcW w:w="567" w:type="dxa"/>
          </w:tcPr>
          <w:p w:rsidR="00F17978" w:rsidRPr="00D95509" w:rsidRDefault="00F17978" w:rsidP="00AE334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F17978" w:rsidRPr="000B1E16" w:rsidRDefault="00F17978" w:rsidP="00AE3349">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sidRPr="000B1E16">
              <w:rPr>
                <w:rFonts w:ascii="Calibri" w:hAnsi="Calibri"/>
                <w:bCs/>
                <w:szCs w:val="24"/>
              </w:rPr>
              <w:t>Coxa e sobrecoxa de frango c</w:t>
            </w:r>
            <w:r>
              <w:rPr>
                <w:rFonts w:ascii="Calibri" w:hAnsi="Calibri"/>
                <w:bCs/>
                <w:szCs w:val="24"/>
              </w:rPr>
              <w:t>om osso e sem pele; sem tempero</w:t>
            </w:r>
            <w:r w:rsidRPr="000B1E16">
              <w:rPr>
                <w:rFonts w:ascii="Calibri" w:hAnsi="Calibri"/>
                <w:bCs/>
                <w:szCs w:val="24"/>
              </w:rPr>
              <w:t xml:space="preserve"> e inteiras; congelada, transportada e conservada adequadamente; com aspecto, cor, cheiro e sabor próprios; livre de parasitas e de qualquer substância contaminante que possa alterá-lo ou encobrir alterações; produto sujeito a verificação no ato da entrega.</w:t>
            </w:r>
          </w:p>
        </w:tc>
        <w:tc>
          <w:tcPr>
            <w:tcW w:w="1299" w:type="dxa"/>
          </w:tcPr>
          <w:p w:rsidR="00F17978" w:rsidRPr="000B1E16" w:rsidRDefault="00F17978" w:rsidP="00AE334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R$</w:t>
            </w:r>
          </w:p>
        </w:tc>
      </w:tr>
      <w:tr w:rsidR="00F17978" w:rsidRPr="000B1E16" w:rsidTr="00AE3349">
        <w:tc>
          <w:tcPr>
            <w:cnfStyle w:val="001000000000" w:firstRow="0" w:lastRow="0" w:firstColumn="1" w:lastColumn="0" w:oddVBand="0" w:evenVBand="0" w:oddHBand="0" w:evenHBand="0" w:firstRowFirstColumn="0" w:firstRowLastColumn="0" w:lastRowFirstColumn="0" w:lastRowLastColumn="0"/>
            <w:tcW w:w="1007" w:type="dxa"/>
          </w:tcPr>
          <w:p w:rsidR="00F17978" w:rsidRDefault="00F17978" w:rsidP="00AE3349">
            <w:pPr>
              <w:spacing w:line="276" w:lineRule="auto"/>
              <w:jc w:val="center"/>
              <w:rPr>
                <w:rFonts w:ascii="Calibri" w:hAnsi="Calibri"/>
                <w:b w:val="0"/>
                <w:bCs w:val="0"/>
                <w:szCs w:val="24"/>
              </w:rPr>
            </w:pPr>
            <w:r>
              <w:rPr>
                <w:rFonts w:ascii="Calibri" w:hAnsi="Calibri"/>
                <w:b w:val="0"/>
                <w:bCs w:val="0"/>
                <w:szCs w:val="24"/>
              </w:rPr>
              <w:t>382.693</w:t>
            </w:r>
          </w:p>
        </w:tc>
        <w:tc>
          <w:tcPr>
            <w:tcW w:w="973" w:type="dxa"/>
          </w:tcPr>
          <w:p w:rsidR="00F17978" w:rsidRPr="000B1E16" w:rsidRDefault="00F17978" w:rsidP="00AE334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10.000</w:t>
            </w:r>
          </w:p>
        </w:tc>
        <w:tc>
          <w:tcPr>
            <w:tcW w:w="567" w:type="dxa"/>
          </w:tcPr>
          <w:p w:rsidR="00F17978" w:rsidRPr="000B1E16" w:rsidRDefault="00F17978" w:rsidP="00AE334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F17978" w:rsidRPr="000B1E16" w:rsidRDefault="00F17978" w:rsidP="00AE3349">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sidRPr="000B1E16">
              <w:rPr>
                <w:rFonts w:ascii="Calibri" w:hAnsi="Calibri"/>
                <w:bCs/>
                <w:szCs w:val="24"/>
              </w:rPr>
              <w:t>Coxa e sobrecoxa de frango,</w:t>
            </w:r>
            <w:r>
              <w:rPr>
                <w:rFonts w:ascii="Calibri" w:hAnsi="Calibri"/>
                <w:bCs/>
                <w:szCs w:val="24"/>
              </w:rPr>
              <w:t xml:space="preserve"> </w:t>
            </w:r>
            <w:r w:rsidRPr="000B1E16">
              <w:rPr>
                <w:rFonts w:ascii="Calibri" w:hAnsi="Calibri"/>
                <w:bCs/>
                <w:szCs w:val="24"/>
              </w:rPr>
              <w:t>sem osso;</w:t>
            </w:r>
            <w:r>
              <w:rPr>
                <w:rFonts w:ascii="Calibri" w:hAnsi="Calibri"/>
                <w:bCs/>
                <w:szCs w:val="24"/>
              </w:rPr>
              <w:t xml:space="preserve"> </w:t>
            </w:r>
            <w:r w:rsidRPr="000B1E16">
              <w:rPr>
                <w:rFonts w:ascii="Calibri" w:hAnsi="Calibri"/>
                <w:bCs/>
                <w:szCs w:val="24"/>
              </w:rPr>
              <w:t>sem pele; sem tempero; transportada e conservada adequadamente; com aspecto, cor, cheiro e sabor próprios; livre de parasitas e de qualquer substância contaminante que possa alterá-lo ou encobrir alterações; produto sujeito a verificação no ato da entrega.</w:t>
            </w:r>
          </w:p>
        </w:tc>
        <w:tc>
          <w:tcPr>
            <w:tcW w:w="1299" w:type="dxa"/>
          </w:tcPr>
          <w:p w:rsidR="00F17978" w:rsidRPr="000B1E16" w:rsidRDefault="00F17978" w:rsidP="00F1797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R$</w:t>
            </w:r>
          </w:p>
        </w:tc>
      </w:tr>
      <w:tr w:rsidR="00F17978" w:rsidRPr="000B1E16" w:rsidTr="00AE3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F17978" w:rsidRDefault="00F17978" w:rsidP="00AE3349">
            <w:pPr>
              <w:spacing w:line="276" w:lineRule="auto"/>
              <w:jc w:val="center"/>
              <w:rPr>
                <w:rFonts w:ascii="Calibri" w:hAnsi="Calibri"/>
                <w:b w:val="0"/>
                <w:bCs w:val="0"/>
                <w:szCs w:val="24"/>
              </w:rPr>
            </w:pPr>
            <w:r>
              <w:rPr>
                <w:rFonts w:ascii="Calibri" w:hAnsi="Calibri"/>
                <w:b w:val="0"/>
                <w:bCs w:val="0"/>
                <w:szCs w:val="24"/>
              </w:rPr>
              <w:t>035.830</w:t>
            </w:r>
          </w:p>
        </w:tc>
        <w:tc>
          <w:tcPr>
            <w:tcW w:w="973" w:type="dxa"/>
          </w:tcPr>
          <w:p w:rsidR="00F17978" w:rsidRPr="000B1E16" w:rsidRDefault="00F17978" w:rsidP="00AE334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5.000</w:t>
            </w:r>
          </w:p>
        </w:tc>
        <w:tc>
          <w:tcPr>
            <w:tcW w:w="567" w:type="dxa"/>
          </w:tcPr>
          <w:p w:rsidR="00F17978" w:rsidRPr="000B1E16" w:rsidRDefault="00F17978" w:rsidP="00AE334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F17978" w:rsidRPr="000B1E16" w:rsidRDefault="00F17978" w:rsidP="00AE3349">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sidRPr="000B1E16">
              <w:rPr>
                <w:rFonts w:ascii="Calibri" w:hAnsi="Calibri"/>
                <w:bCs/>
                <w:szCs w:val="24"/>
              </w:rPr>
              <w:t>File de frango, congelado, sem osso, sem tempero, transportada e conservada adequadamente, com aspecto, cor, cheiro e sabor próprios, livre de parasitas e de qualquer substância contaminante que possa alterá-lo ou encobrir alterações. Produto sujeito a fiscalização no ato da entrega</w:t>
            </w:r>
          </w:p>
        </w:tc>
        <w:tc>
          <w:tcPr>
            <w:tcW w:w="1299" w:type="dxa"/>
          </w:tcPr>
          <w:p w:rsidR="00F17978" w:rsidRPr="000B1E16" w:rsidRDefault="00F17978" w:rsidP="00F17978">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Cs w:val="24"/>
              </w:rPr>
            </w:pPr>
            <w:r>
              <w:rPr>
                <w:rFonts w:ascii="Calibri" w:hAnsi="Calibri"/>
                <w:bCs/>
                <w:szCs w:val="24"/>
              </w:rPr>
              <w:t>R$</w:t>
            </w:r>
          </w:p>
        </w:tc>
      </w:tr>
      <w:tr w:rsidR="00F17978" w:rsidRPr="000B1E16" w:rsidTr="00AE3349">
        <w:tc>
          <w:tcPr>
            <w:cnfStyle w:val="001000000000" w:firstRow="0" w:lastRow="0" w:firstColumn="1" w:lastColumn="0" w:oddVBand="0" w:evenVBand="0" w:oddHBand="0" w:evenHBand="0" w:firstRowFirstColumn="0" w:firstRowLastColumn="0" w:lastRowFirstColumn="0" w:lastRowLastColumn="0"/>
            <w:tcW w:w="1007" w:type="dxa"/>
          </w:tcPr>
          <w:p w:rsidR="00F17978" w:rsidRDefault="00F17978" w:rsidP="00AE3349">
            <w:pPr>
              <w:spacing w:line="276" w:lineRule="auto"/>
              <w:jc w:val="center"/>
              <w:rPr>
                <w:rFonts w:ascii="Calibri" w:hAnsi="Calibri"/>
                <w:b w:val="0"/>
                <w:bCs w:val="0"/>
                <w:szCs w:val="24"/>
              </w:rPr>
            </w:pPr>
            <w:r>
              <w:rPr>
                <w:rFonts w:ascii="Calibri" w:hAnsi="Calibri"/>
                <w:b w:val="0"/>
                <w:bCs w:val="0"/>
                <w:szCs w:val="24"/>
              </w:rPr>
              <w:t>370.434</w:t>
            </w:r>
          </w:p>
        </w:tc>
        <w:tc>
          <w:tcPr>
            <w:tcW w:w="973" w:type="dxa"/>
          </w:tcPr>
          <w:p w:rsidR="00F17978" w:rsidRPr="000B1E16" w:rsidRDefault="00F17978" w:rsidP="00AE334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sidRPr="000B1E16">
              <w:rPr>
                <w:rFonts w:ascii="Calibri" w:hAnsi="Calibri"/>
                <w:bCs/>
                <w:szCs w:val="24"/>
              </w:rPr>
              <w:t>5.000</w:t>
            </w:r>
          </w:p>
        </w:tc>
        <w:tc>
          <w:tcPr>
            <w:tcW w:w="567" w:type="dxa"/>
          </w:tcPr>
          <w:p w:rsidR="00F17978" w:rsidRPr="000B1E16" w:rsidRDefault="00F17978" w:rsidP="00AE334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KG</w:t>
            </w:r>
          </w:p>
        </w:tc>
        <w:tc>
          <w:tcPr>
            <w:tcW w:w="6379" w:type="dxa"/>
          </w:tcPr>
          <w:p w:rsidR="00F17978" w:rsidRPr="000B1E16" w:rsidRDefault="00F17978" w:rsidP="00AE3349">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sidRPr="000B1E16">
              <w:rPr>
                <w:rFonts w:ascii="Calibri" w:hAnsi="Calibri"/>
                <w:bCs/>
                <w:szCs w:val="24"/>
              </w:rPr>
              <w:t>Peito de frango sem osso, congelado, sem tempero, transportada e conservada adequadamente,</w:t>
            </w:r>
            <w:r>
              <w:rPr>
                <w:rFonts w:ascii="Calibri" w:hAnsi="Calibri"/>
                <w:bCs/>
                <w:szCs w:val="24"/>
              </w:rPr>
              <w:t xml:space="preserve"> </w:t>
            </w:r>
            <w:r w:rsidRPr="000B1E16">
              <w:rPr>
                <w:rFonts w:ascii="Calibri" w:hAnsi="Calibri"/>
                <w:bCs/>
                <w:szCs w:val="24"/>
              </w:rPr>
              <w:t>com aspecto, cor, cheiro e sabor próprios, livre de parasitas e de qualquer substância contaminante que possa alterá-lo ou encobrir alterações. Produto sujeito</w:t>
            </w:r>
            <w:r>
              <w:rPr>
                <w:rFonts w:ascii="Calibri" w:hAnsi="Calibri"/>
                <w:bCs/>
                <w:szCs w:val="24"/>
              </w:rPr>
              <w:t xml:space="preserve"> </w:t>
            </w:r>
            <w:r w:rsidRPr="000B1E16">
              <w:rPr>
                <w:rFonts w:ascii="Calibri" w:hAnsi="Calibri"/>
                <w:bCs/>
                <w:szCs w:val="24"/>
              </w:rPr>
              <w:t>a</w:t>
            </w:r>
            <w:r>
              <w:rPr>
                <w:rFonts w:ascii="Calibri" w:hAnsi="Calibri"/>
                <w:bCs/>
                <w:szCs w:val="24"/>
              </w:rPr>
              <w:t xml:space="preserve"> </w:t>
            </w:r>
            <w:r w:rsidRPr="000B1E16">
              <w:rPr>
                <w:rFonts w:ascii="Calibri" w:hAnsi="Calibri"/>
                <w:bCs/>
                <w:szCs w:val="24"/>
              </w:rPr>
              <w:t>fiscalização no ato da entrega</w:t>
            </w:r>
          </w:p>
        </w:tc>
        <w:tc>
          <w:tcPr>
            <w:tcW w:w="1299" w:type="dxa"/>
          </w:tcPr>
          <w:p w:rsidR="00F17978" w:rsidRPr="000B1E16" w:rsidRDefault="00F17978" w:rsidP="00F1797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Cs w:val="24"/>
              </w:rPr>
            </w:pPr>
            <w:r>
              <w:rPr>
                <w:rFonts w:ascii="Calibri" w:hAnsi="Calibri"/>
                <w:bCs/>
                <w:szCs w:val="24"/>
              </w:rPr>
              <w:t>R$</w:t>
            </w:r>
          </w:p>
        </w:tc>
      </w:tr>
    </w:tbl>
    <w:p w:rsidR="002906DE" w:rsidRDefault="002906DE" w:rsidP="002906DE">
      <w:pPr>
        <w:spacing w:line="276" w:lineRule="auto"/>
        <w:jc w:val="both"/>
        <w:rPr>
          <w:rFonts w:ascii="Calibri" w:hAnsi="Calibri"/>
          <w:snapToGrid w:val="0"/>
          <w:szCs w:val="24"/>
        </w:rPr>
      </w:pPr>
    </w:p>
    <w:p w:rsidR="002906DE" w:rsidRDefault="002906DE" w:rsidP="002906DE">
      <w:pPr>
        <w:spacing w:line="276" w:lineRule="auto"/>
        <w:jc w:val="both"/>
        <w:rPr>
          <w:rFonts w:ascii="Calibri" w:hAnsi="Calibri"/>
          <w:snapToGrid w:val="0"/>
          <w:szCs w:val="24"/>
        </w:rPr>
      </w:pPr>
    </w:p>
    <w:p w:rsidR="002906DE" w:rsidRPr="004A7691" w:rsidRDefault="002906DE" w:rsidP="002906DE">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2906DE" w:rsidRPr="004A7691" w:rsidRDefault="002906DE" w:rsidP="002906DE">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w:t>
      </w:r>
      <w:r w:rsidRPr="004A7691">
        <w:rPr>
          <w:rFonts w:ascii="Calibri" w:hAnsi="Calibri"/>
          <w:szCs w:val="24"/>
        </w:rPr>
        <w:lastRenderedPageBreak/>
        <w:t>fiscal.</w:t>
      </w:r>
    </w:p>
    <w:p w:rsidR="002906DE" w:rsidRPr="004A7691" w:rsidRDefault="002906DE" w:rsidP="002906DE">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2906DE" w:rsidRPr="004A7691" w:rsidRDefault="002906DE" w:rsidP="002906DE">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2906DE" w:rsidRPr="004A7691" w:rsidRDefault="002906DE" w:rsidP="002906DE">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2906DE" w:rsidRPr="004A7691" w:rsidRDefault="002906DE" w:rsidP="002906DE">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2906DE" w:rsidRPr="004A7691" w:rsidRDefault="002906DE" w:rsidP="002906DE">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2906DE" w:rsidRPr="004A7691" w:rsidRDefault="002906DE" w:rsidP="002906DE">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2906DE" w:rsidRPr="004A7691" w:rsidRDefault="002906DE" w:rsidP="002906DE">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2906DE" w:rsidRPr="004A7691" w:rsidRDefault="002906DE" w:rsidP="002906DE">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2906DE" w:rsidRPr="004A7691" w:rsidRDefault="002906DE" w:rsidP="002906DE">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2906DE" w:rsidRPr="004A7691" w:rsidRDefault="002906DE" w:rsidP="002906DE">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2906DE" w:rsidRPr="004A7691"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Sexta - Das Obrigações Do Órgão Gestor</w:t>
      </w:r>
    </w:p>
    <w:p w:rsidR="002906DE" w:rsidRPr="004A7691" w:rsidRDefault="002906DE" w:rsidP="002906DE">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2906DE" w:rsidRPr="004A7691" w:rsidRDefault="002906DE" w:rsidP="002906DE">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.2 - Executar o objeto desta licitação conforme regras estabelecidas</w:t>
      </w:r>
    </w:p>
    <w:p w:rsidR="002906DE" w:rsidRPr="004A7691" w:rsidRDefault="002906DE" w:rsidP="002906DE">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2906DE" w:rsidRPr="004A7691" w:rsidRDefault="002906DE" w:rsidP="002906DE">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do término da vigência contratual, os motivos que impossibilitem o cumprimento do prazo previsto, com a devida comprovação.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2906DE" w:rsidRDefault="002906DE" w:rsidP="002906DE">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2906DE" w:rsidRPr="00A47008" w:rsidRDefault="002906DE" w:rsidP="002906DE">
      <w:pPr>
        <w:jc w:val="both"/>
        <w:rPr>
          <w:rFonts w:ascii="Calibri" w:eastAsia="Tahoma" w:hAnsi="Calibri"/>
        </w:rPr>
      </w:pPr>
      <w:r>
        <w:rPr>
          <w:rFonts w:ascii="Calibri" w:eastAsia="Tahoma" w:hAnsi="Calibri"/>
        </w:rPr>
        <w:lastRenderedPageBreak/>
        <w:t>7.21 - Entregar as carnes</w:t>
      </w:r>
      <w:r w:rsidRPr="00A47008">
        <w:rPr>
          <w:rFonts w:ascii="Calibri" w:eastAsia="Tahoma" w:hAnsi="Calibri"/>
        </w:rPr>
        <w:t xml:space="preserve"> com validade mínima de 75% (setenta e cinco por cento), a partir da data de fabricação. Os </w:t>
      </w:r>
      <w:r>
        <w:rPr>
          <w:rFonts w:ascii="Calibri" w:eastAsia="Tahoma" w:hAnsi="Calibri"/>
        </w:rPr>
        <w:t>produtos</w:t>
      </w:r>
      <w:r w:rsidRPr="00A47008">
        <w:rPr>
          <w:rFonts w:ascii="Calibri" w:eastAsia="Tahoma" w:hAnsi="Calibri"/>
        </w:rPr>
        <w:t xml:space="preserve"> entregues com o prazo de validade fora do estipulado neste edital serão devolvidos.</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2906DE" w:rsidRPr="009A0486" w:rsidRDefault="002906DE" w:rsidP="002906DE">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2906DE" w:rsidRPr="009A0486" w:rsidRDefault="002906DE" w:rsidP="002906DE">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2906DE" w:rsidRPr="004A7691" w:rsidRDefault="002906DE" w:rsidP="002906DE">
      <w:pPr>
        <w:tabs>
          <w:tab w:val="num" w:pos="720"/>
        </w:tabs>
        <w:spacing w:line="276" w:lineRule="auto"/>
        <w:ind w:firstLine="240"/>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2906DE" w:rsidRPr="004A7691" w:rsidRDefault="002906DE" w:rsidP="002906DE">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2906DE"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2906DE" w:rsidRPr="004A7691" w:rsidRDefault="002906DE" w:rsidP="002906DE">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2906DE"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2906DE" w:rsidRPr="004A7691" w:rsidRDefault="002906DE" w:rsidP="002906DE">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2906DE" w:rsidRPr="004A7691"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w:t>
      </w:r>
      <w:r w:rsidRPr="004A7691">
        <w:rPr>
          <w:rFonts w:ascii="Calibri" w:hAnsi="Calibri"/>
          <w:szCs w:val="24"/>
        </w:rPr>
        <w:lastRenderedPageBreak/>
        <w:t xml:space="preserve">Administrativo. </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2906DE" w:rsidRDefault="002906DE" w:rsidP="002906DE">
      <w:pPr>
        <w:spacing w:line="276" w:lineRule="auto"/>
        <w:jc w:val="both"/>
        <w:rPr>
          <w:rFonts w:ascii="Calibri" w:hAnsi="Calibri"/>
          <w:szCs w:val="24"/>
        </w:rPr>
      </w:pPr>
    </w:p>
    <w:p w:rsidR="002906DE" w:rsidRPr="009A0486" w:rsidRDefault="002906DE" w:rsidP="002906DE">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2906DE" w:rsidRPr="009A0486" w:rsidRDefault="00366F44" w:rsidP="002906DE">
      <w:pPr>
        <w:tabs>
          <w:tab w:val="left" w:pos="0"/>
          <w:tab w:val="left" w:pos="458"/>
        </w:tabs>
        <w:spacing w:line="276" w:lineRule="auto"/>
        <w:jc w:val="both"/>
        <w:rPr>
          <w:rFonts w:asciiTheme="minorHAnsi" w:eastAsia="Tahoma" w:hAnsiTheme="minorHAnsi"/>
          <w:szCs w:val="24"/>
        </w:rPr>
      </w:pPr>
      <w:r>
        <w:rPr>
          <w:rFonts w:asciiTheme="minorHAnsi" w:eastAsia="Tahoma" w:hAnsiTheme="minorHAnsi"/>
          <w:szCs w:val="24"/>
        </w:rPr>
        <w:t>12</w:t>
      </w:r>
      <w:r w:rsidR="002906DE" w:rsidRPr="009A0486">
        <w:rPr>
          <w:rFonts w:asciiTheme="minorHAnsi" w:eastAsia="Tahoma" w:hAnsiTheme="minorHAnsi"/>
          <w:szCs w:val="24"/>
        </w:rPr>
        <w:t xml:space="preserve">.1 - Integram esta ATA, o Edital do Pregão </w:t>
      </w:r>
      <w:r w:rsidR="002906DE">
        <w:rPr>
          <w:rFonts w:asciiTheme="minorHAnsi" w:eastAsia="Tahoma" w:hAnsiTheme="minorHAnsi"/>
          <w:szCs w:val="24"/>
        </w:rPr>
        <w:t>Eletrônico</w:t>
      </w:r>
      <w:r w:rsidR="002906DE" w:rsidRPr="009A0486">
        <w:rPr>
          <w:rFonts w:asciiTheme="minorHAnsi" w:eastAsia="Tahoma" w:hAnsiTheme="minorHAnsi"/>
          <w:szCs w:val="24"/>
        </w:rPr>
        <w:t xml:space="preserve"> nº </w:t>
      </w:r>
      <w:r w:rsidR="00F17978">
        <w:rPr>
          <w:rFonts w:asciiTheme="minorHAnsi" w:eastAsia="Tahoma" w:hAnsiTheme="minorHAnsi"/>
          <w:szCs w:val="24"/>
        </w:rPr>
        <w:t>018</w:t>
      </w:r>
      <w:r w:rsidR="002906DE" w:rsidRPr="009A0486">
        <w:rPr>
          <w:rFonts w:asciiTheme="minorHAnsi" w:eastAsia="Tahoma" w:hAnsiTheme="minorHAnsi"/>
          <w:szCs w:val="24"/>
        </w:rPr>
        <w:t>/20</w:t>
      </w:r>
      <w:r w:rsidR="002906DE">
        <w:rPr>
          <w:rFonts w:asciiTheme="minorHAnsi" w:eastAsia="Tahoma" w:hAnsiTheme="minorHAnsi"/>
          <w:szCs w:val="24"/>
        </w:rPr>
        <w:t>2</w:t>
      </w:r>
      <w:r w:rsidR="002906DE" w:rsidRPr="009A0486">
        <w:rPr>
          <w:rFonts w:asciiTheme="minorHAnsi" w:eastAsia="Tahoma" w:hAnsiTheme="minorHAnsi"/>
          <w:szCs w:val="24"/>
        </w:rPr>
        <w:t>1 e seus anexos e a proposta de preços do fornecedor independente da transcrição.</w:t>
      </w:r>
    </w:p>
    <w:p w:rsidR="002906DE" w:rsidRPr="009A0486" w:rsidRDefault="002906DE" w:rsidP="002906DE">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1</w:t>
      </w:r>
      <w:r w:rsidR="00366F44">
        <w:rPr>
          <w:rFonts w:asciiTheme="minorHAnsi" w:eastAsia="Tahoma" w:hAnsiTheme="minorHAnsi"/>
          <w:szCs w:val="24"/>
        </w:rPr>
        <w:t>2</w:t>
      </w:r>
      <w:r w:rsidRPr="009A0486">
        <w:rPr>
          <w:rFonts w:asciiTheme="minorHAnsi" w:eastAsia="Tahoma" w:hAnsiTheme="minorHAnsi"/>
          <w:szCs w:val="24"/>
        </w:rPr>
        <w:t xml:space="preserve">.2 -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2906DE" w:rsidRPr="009A0486" w:rsidRDefault="002906DE" w:rsidP="002906DE">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w:t>
      </w:r>
      <w:r w:rsidR="00366F44">
        <w:rPr>
          <w:rFonts w:asciiTheme="minorHAnsi" w:eastAsia="Tahoma" w:hAnsiTheme="minorHAnsi"/>
          <w:b/>
          <w:szCs w:val="24"/>
        </w:rPr>
        <w:t>2</w:t>
      </w:r>
      <w:r w:rsidRPr="009A0486">
        <w:rPr>
          <w:rFonts w:asciiTheme="minorHAnsi" w:eastAsia="Tahoma" w:hAnsiTheme="minorHAnsi"/>
          <w:b/>
          <w:szCs w:val="24"/>
        </w:rPr>
        <w:t>.3 - Os produtos serão recebidos provisoriamente, o recebimento definitivo será feito após a verificação das especificações, qualidade, quantidade, validade e consequentemente aceitação, no prazo de 05 (cinco) dias a contar do recebimento provisório.</w:t>
      </w:r>
    </w:p>
    <w:p w:rsidR="002906DE" w:rsidRPr="009A0486" w:rsidRDefault="002906DE" w:rsidP="002906DE">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w:t>
      </w:r>
      <w:r w:rsidR="00366F44">
        <w:rPr>
          <w:rFonts w:asciiTheme="minorHAnsi" w:eastAsia="Tahoma" w:hAnsiTheme="minorHAnsi"/>
          <w:szCs w:val="24"/>
        </w:rPr>
        <w:t>2</w:t>
      </w:r>
      <w:r w:rsidRPr="009A0486">
        <w:rPr>
          <w:rFonts w:asciiTheme="minorHAnsi" w:eastAsia="Tahoma" w:hAnsiTheme="minorHAnsi"/>
          <w:szCs w:val="24"/>
        </w:rPr>
        <w:t>.3.1 - Em caso de não aceitação, fica o FORNECEDOR obrigado a substituir os produtos, sem custo, no prazo de 05 (cinco) dias, contados da notificação a ser expedida pela Secretaria requisitante.</w:t>
      </w:r>
    </w:p>
    <w:p w:rsidR="002906DE" w:rsidRDefault="002906DE" w:rsidP="002906DE">
      <w:pPr>
        <w:spacing w:line="276" w:lineRule="auto"/>
        <w:jc w:val="both"/>
        <w:rPr>
          <w:rFonts w:asciiTheme="minorHAnsi" w:hAnsiTheme="minorHAns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2906DE" w:rsidRDefault="002906DE" w:rsidP="002906DE">
      <w:pPr>
        <w:spacing w:line="276" w:lineRule="auto"/>
        <w:jc w:val="both"/>
        <w:rPr>
          <w:rFonts w:ascii="Calibri" w:hAnsi="Calibri"/>
          <w:szCs w:val="24"/>
        </w:rPr>
      </w:pPr>
      <w:r>
        <w:rPr>
          <w:rFonts w:ascii="Calibri" w:hAnsi="Calibri"/>
          <w:szCs w:val="24"/>
        </w:rPr>
        <w:t>1</w:t>
      </w:r>
      <w:r w:rsidR="00366F44">
        <w:rPr>
          <w:rFonts w:ascii="Calibri" w:hAnsi="Calibri"/>
          <w:szCs w:val="24"/>
        </w:rPr>
        <w:t>3</w:t>
      </w:r>
      <w:bookmarkStart w:id="1" w:name="_GoBack"/>
      <w:bookmarkEnd w:id="1"/>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2906DE" w:rsidRPr="004A7691" w:rsidRDefault="002906DE" w:rsidP="002906DE">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2906DE" w:rsidRPr="004A7691" w:rsidTr="002906DE">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Município de Tupaciguara</w:t>
            </w:r>
          </w:p>
          <w:p w:rsidR="002906DE" w:rsidRPr="004A7691" w:rsidRDefault="002906DE" w:rsidP="002906DE">
            <w:pPr>
              <w:spacing w:line="276" w:lineRule="auto"/>
              <w:jc w:val="center"/>
              <w:rPr>
                <w:rFonts w:ascii="Calibri" w:hAnsi="Calibri"/>
                <w:b/>
                <w:szCs w:val="24"/>
              </w:rPr>
            </w:pPr>
            <w:r>
              <w:rPr>
                <w:rFonts w:ascii="Calibri" w:hAnsi="Calibri"/>
                <w:b/>
                <w:szCs w:val="24"/>
              </w:rPr>
              <w:t>Órgão Gerenciador</w:t>
            </w:r>
          </w:p>
        </w:tc>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Razão Social</w:t>
            </w:r>
          </w:p>
          <w:p w:rsidR="002906DE" w:rsidRPr="004A7691" w:rsidRDefault="002906DE" w:rsidP="002906DE">
            <w:pPr>
              <w:spacing w:line="276" w:lineRule="auto"/>
              <w:jc w:val="center"/>
              <w:rPr>
                <w:rFonts w:ascii="Calibri" w:hAnsi="Calibri"/>
                <w:b/>
                <w:szCs w:val="24"/>
              </w:rPr>
            </w:pPr>
            <w:r>
              <w:rPr>
                <w:rFonts w:ascii="Calibri" w:hAnsi="Calibri"/>
                <w:b/>
                <w:szCs w:val="24"/>
              </w:rPr>
              <w:t>Fornecedor</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2906DE"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w:t>
      </w:r>
    </w:p>
    <w:p w:rsidR="002906DE" w:rsidRPr="004A7691" w:rsidRDefault="002906DE" w:rsidP="002906DE">
      <w:pPr>
        <w:spacing w:line="276" w:lineRule="auto"/>
        <w:jc w:val="both"/>
        <w:rPr>
          <w:rFonts w:ascii="Calibri" w:hAnsi="Calibri"/>
          <w:szCs w:val="24"/>
        </w:rPr>
      </w:pPr>
      <w:r>
        <w:rPr>
          <w:rFonts w:ascii="Calibri" w:hAnsi="Calibri"/>
          <w:szCs w:val="24"/>
        </w:rPr>
        <w:t xml:space="preserve">   CPF nº_______________________________</w:t>
      </w:r>
    </w:p>
    <w:p w:rsidR="002906DE" w:rsidRPr="004A7691" w:rsidRDefault="002906DE" w:rsidP="002906DE">
      <w:pPr>
        <w:spacing w:line="276" w:lineRule="auto"/>
        <w:rPr>
          <w:rFonts w:ascii="Calibri" w:hAnsi="Calibri"/>
          <w:bCs/>
          <w:szCs w:val="24"/>
        </w:rPr>
      </w:pPr>
    </w:p>
    <w:p w:rsidR="002906DE" w:rsidRPr="004A7691" w:rsidRDefault="002906DE" w:rsidP="002906DE">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2906DE" w:rsidRPr="004A7691" w:rsidRDefault="002906DE" w:rsidP="002906DE">
      <w:pPr>
        <w:spacing w:line="276" w:lineRule="auto"/>
        <w:rPr>
          <w:rFonts w:ascii="Calibri" w:hAnsi="Calibri"/>
          <w:szCs w:val="24"/>
        </w:rPr>
      </w:pPr>
      <w:r>
        <w:rPr>
          <w:rFonts w:ascii="Calibri" w:hAnsi="Calibri"/>
          <w:szCs w:val="24"/>
        </w:rPr>
        <w:t xml:space="preserve">    CPF nº ___________________________________</w:t>
      </w:r>
    </w:p>
    <w:p w:rsidR="002906DE" w:rsidRPr="004A7691" w:rsidRDefault="002906DE" w:rsidP="002906DE">
      <w:pPr>
        <w:spacing w:line="276" w:lineRule="auto"/>
        <w:rPr>
          <w:rFonts w:ascii="Calibri" w:hAnsi="Calibri"/>
          <w:szCs w:val="24"/>
        </w:rPr>
      </w:pPr>
    </w:p>
    <w:p w:rsidR="00571F10" w:rsidRPr="004A7691" w:rsidRDefault="00571F10" w:rsidP="004A7691">
      <w:pPr>
        <w:spacing w:line="276" w:lineRule="auto"/>
        <w:rPr>
          <w:rFonts w:ascii="Calibri" w:hAnsi="Calibri"/>
          <w:szCs w:val="24"/>
        </w:rPr>
      </w:pPr>
    </w:p>
    <w:sectPr w:rsidR="00571F10" w:rsidRPr="004A7691" w:rsidSect="00942599">
      <w:headerReference w:type="default" r:id="rId23"/>
      <w:footerReference w:type="default" r:id="rId24"/>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13" w:rsidRDefault="00B67C13">
      <w:r>
        <w:separator/>
      </w:r>
    </w:p>
  </w:endnote>
  <w:endnote w:type="continuationSeparator" w:id="0">
    <w:p w:rsidR="00B67C13" w:rsidRDefault="00B6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49" w:rsidRDefault="00457049">
    <w:pPr>
      <w:pStyle w:val="Rodap"/>
    </w:pPr>
  </w:p>
  <w:p w:rsidR="00457049" w:rsidRDefault="004570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13" w:rsidRDefault="00B67C13">
      <w:r>
        <w:separator/>
      </w:r>
    </w:p>
  </w:footnote>
  <w:footnote w:type="continuationSeparator" w:id="0">
    <w:p w:rsidR="00B67C13" w:rsidRDefault="00B67C13">
      <w:r>
        <w:continuationSeparator/>
      </w:r>
    </w:p>
  </w:footnote>
  <w:footnote w:id="1">
    <w:p w:rsidR="00457049" w:rsidRDefault="00457049"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457049" w:rsidRDefault="0045704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49" w:rsidRPr="002A41FC" w:rsidRDefault="00457049" w:rsidP="00686912">
    <w:pPr>
      <w:pStyle w:val="Cabealho"/>
      <w:jc w:val="center"/>
      <w:rPr>
        <w:rFonts w:ascii="Calibri" w:hAnsi="Calibri" w:cs="Arial"/>
        <w:b/>
        <w:sz w:val="20"/>
      </w:rPr>
    </w:pPr>
    <w:r w:rsidRPr="002A41FC">
      <w:rPr>
        <w:rFonts w:ascii="Calibri" w:hAnsi="Calibri" w:cs="Arial"/>
        <w:b/>
        <w:sz w:val="20"/>
      </w:rPr>
      <w:t>PREFEITURA MUNICIPAL DE TUPACIGUARA</w:t>
    </w:r>
  </w:p>
  <w:p w:rsidR="00457049" w:rsidRPr="002A41FC" w:rsidRDefault="00457049" w:rsidP="00686912">
    <w:pPr>
      <w:pStyle w:val="Cabealho"/>
      <w:jc w:val="center"/>
      <w:rPr>
        <w:rFonts w:ascii="Calibri" w:hAnsi="Calibri" w:cs="Arial"/>
        <w:sz w:val="20"/>
      </w:rPr>
    </w:pPr>
    <w:r w:rsidRPr="002A41FC">
      <w:rPr>
        <w:rFonts w:ascii="Calibri" w:hAnsi="Calibri" w:cs="Arial"/>
        <w:sz w:val="20"/>
      </w:rPr>
      <w:t xml:space="preserve">Praça </w:t>
    </w:r>
    <w:r w:rsidR="003C4CF6" w:rsidRPr="002A41FC">
      <w:rPr>
        <w:rFonts w:ascii="Calibri" w:hAnsi="Calibri" w:cs="Arial"/>
        <w:sz w:val="20"/>
      </w:rPr>
      <w:t>Antônio</w:t>
    </w:r>
    <w:r w:rsidRPr="002A41FC">
      <w:rPr>
        <w:rFonts w:ascii="Calibri" w:hAnsi="Calibri" w:cs="Arial"/>
        <w:sz w:val="20"/>
      </w:rPr>
      <w:t xml:space="preserve"> Alves Faria s/nº</w:t>
    </w:r>
  </w:p>
  <w:p w:rsidR="00457049" w:rsidRPr="002A41FC" w:rsidRDefault="00457049"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457049" w:rsidRPr="002A41FC" w:rsidRDefault="00457049"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706A"/>
    <w:rsid w:val="00016311"/>
    <w:rsid w:val="00033D31"/>
    <w:rsid w:val="00036560"/>
    <w:rsid w:val="00040A01"/>
    <w:rsid w:val="00043ABB"/>
    <w:rsid w:val="000454AF"/>
    <w:rsid w:val="00054C1C"/>
    <w:rsid w:val="00062913"/>
    <w:rsid w:val="00067EAE"/>
    <w:rsid w:val="00073CEB"/>
    <w:rsid w:val="00073F69"/>
    <w:rsid w:val="0007764F"/>
    <w:rsid w:val="0007786B"/>
    <w:rsid w:val="000846F4"/>
    <w:rsid w:val="0009633B"/>
    <w:rsid w:val="000A1920"/>
    <w:rsid w:val="000A1EF4"/>
    <w:rsid w:val="000A7037"/>
    <w:rsid w:val="000A7D89"/>
    <w:rsid w:val="000B0498"/>
    <w:rsid w:val="000B0848"/>
    <w:rsid w:val="000B1E16"/>
    <w:rsid w:val="000B7C5D"/>
    <w:rsid w:val="000D1097"/>
    <w:rsid w:val="000D2044"/>
    <w:rsid w:val="000D26A4"/>
    <w:rsid w:val="000D5A52"/>
    <w:rsid w:val="000D68C0"/>
    <w:rsid w:val="000E0C8B"/>
    <w:rsid w:val="000E538F"/>
    <w:rsid w:val="000E5CD2"/>
    <w:rsid w:val="000F5682"/>
    <w:rsid w:val="001003BD"/>
    <w:rsid w:val="00103753"/>
    <w:rsid w:val="001149BF"/>
    <w:rsid w:val="00120681"/>
    <w:rsid w:val="00120ACA"/>
    <w:rsid w:val="0012395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2E"/>
    <w:rsid w:val="00194753"/>
    <w:rsid w:val="001A1F83"/>
    <w:rsid w:val="001A3103"/>
    <w:rsid w:val="001A38EE"/>
    <w:rsid w:val="001A5E35"/>
    <w:rsid w:val="001A6A0B"/>
    <w:rsid w:val="001B1B51"/>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BE"/>
    <w:rsid w:val="002F0291"/>
    <w:rsid w:val="002F240A"/>
    <w:rsid w:val="002F7CB6"/>
    <w:rsid w:val="00307D76"/>
    <w:rsid w:val="003273CD"/>
    <w:rsid w:val="0032784B"/>
    <w:rsid w:val="00332F65"/>
    <w:rsid w:val="0034271B"/>
    <w:rsid w:val="00360FA8"/>
    <w:rsid w:val="00366F44"/>
    <w:rsid w:val="00390DA1"/>
    <w:rsid w:val="00392612"/>
    <w:rsid w:val="003A4838"/>
    <w:rsid w:val="003A6E4F"/>
    <w:rsid w:val="003B5663"/>
    <w:rsid w:val="003B7A55"/>
    <w:rsid w:val="003C4CF6"/>
    <w:rsid w:val="003C699D"/>
    <w:rsid w:val="003D426E"/>
    <w:rsid w:val="003D659D"/>
    <w:rsid w:val="003E2B33"/>
    <w:rsid w:val="003F188B"/>
    <w:rsid w:val="003F4714"/>
    <w:rsid w:val="00401B8C"/>
    <w:rsid w:val="004144EE"/>
    <w:rsid w:val="00417EB1"/>
    <w:rsid w:val="00424604"/>
    <w:rsid w:val="004318E0"/>
    <w:rsid w:val="00431FF6"/>
    <w:rsid w:val="004321E0"/>
    <w:rsid w:val="00433F74"/>
    <w:rsid w:val="004364B3"/>
    <w:rsid w:val="00441A78"/>
    <w:rsid w:val="0044266B"/>
    <w:rsid w:val="0045331F"/>
    <w:rsid w:val="004544F4"/>
    <w:rsid w:val="00457049"/>
    <w:rsid w:val="00463F58"/>
    <w:rsid w:val="00464A24"/>
    <w:rsid w:val="00471764"/>
    <w:rsid w:val="004718AD"/>
    <w:rsid w:val="00476617"/>
    <w:rsid w:val="00477F74"/>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43592"/>
    <w:rsid w:val="0054423C"/>
    <w:rsid w:val="00546227"/>
    <w:rsid w:val="00552125"/>
    <w:rsid w:val="005568E8"/>
    <w:rsid w:val="00561846"/>
    <w:rsid w:val="0056778D"/>
    <w:rsid w:val="00571F10"/>
    <w:rsid w:val="00572405"/>
    <w:rsid w:val="00573199"/>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727B"/>
    <w:rsid w:val="006B20C6"/>
    <w:rsid w:val="006C6F3A"/>
    <w:rsid w:val="006D20B9"/>
    <w:rsid w:val="006E2BA9"/>
    <w:rsid w:val="006E40F0"/>
    <w:rsid w:val="006E5BF0"/>
    <w:rsid w:val="006E7508"/>
    <w:rsid w:val="006F1935"/>
    <w:rsid w:val="006F238D"/>
    <w:rsid w:val="00705F9F"/>
    <w:rsid w:val="0070651F"/>
    <w:rsid w:val="00710F6B"/>
    <w:rsid w:val="00742BA0"/>
    <w:rsid w:val="007452BF"/>
    <w:rsid w:val="00760331"/>
    <w:rsid w:val="0076389F"/>
    <w:rsid w:val="00774FBD"/>
    <w:rsid w:val="007817C2"/>
    <w:rsid w:val="007A60C7"/>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6C8"/>
    <w:rsid w:val="00942599"/>
    <w:rsid w:val="009425AC"/>
    <w:rsid w:val="00945084"/>
    <w:rsid w:val="009474A7"/>
    <w:rsid w:val="00956D44"/>
    <w:rsid w:val="009907B1"/>
    <w:rsid w:val="00991721"/>
    <w:rsid w:val="009932D5"/>
    <w:rsid w:val="009962CF"/>
    <w:rsid w:val="009A2438"/>
    <w:rsid w:val="009A472A"/>
    <w:rsid w:val="009B5315"/>
    <w:rsid w:val="009B60AF"/>
    <w:rsid w:val="009B6E01"/>
    <w:rsid w:val="009C0B10"/>
    <w:rsid w:val="009C3147"/>
    <w:rsid w:val="009F379B"/>
    <w:rsid w:val="00A02412"/>
    <w:rsid w:val="00A04559"/>
    <w:rsid w:val="00A0632D"/>
    <w:rsid w:val="00A12773"/>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47CD"/>
    <w:rsid w:val="00A85D72"/>
    <w:rsid w:val="00A871D3"/>
    <w:rsid w:val="00A8754F"/>
    <w:rsid w:val="00A87702"/>
    <w:rsid w:val="00AA3A7D"/>
    <w:rsid w:val="00AA6400"/>
    <w:rsid w:val="00AB1C13"/>
    <w:rsid w:val="00AB2031"/>
    <w:rsid w:val="00AB3401"/>
    <w:rsid w:val="00AC121E"/>
    <w:rsid w:val="00AC5B88"/>
    <w:rsid w:val="00AD4A4E"/>
    <w:rsid w:val="00AE2944"/>
    <w:rsid w:val="00AE3E27"/>
    <w:rsid w:val="00AE4CC5"/>
    <w:rsid w:val="00AF024B"/>
    <w:rsid w:val="00AF13AD"/>
    <w:rsid w:val="00AF1B42"/>
    <w:rsid w:val="00AF24DE"/>
    <w:rsid w:val="00AF3898"/>
    <w:rsid w:val="00AF565C"/>
    <w:rsid w:val="00AF66FB"/>
    <w:rsid w:val="00AF7186"/>
    <w:rsid w:val="00B02913"/>
    <w:rsid w:val="00B075E6"/>
    <w:rsid w:val="00B1146E"/>
    <w:rsid w:val="00B116EC"/>
    <w:rsid w:val="00B1550F"/>
    <w:rsid w:val="00B202C8"/>
    <w:rsid w:val="00B20362"/>
    <w:rsid w:val="00B318CC"/>
    <w:rsid w:val="00B32649"/>
    <w:rsid w:val="00B354DB"/>
    <w:rsid w:val="00B372A1"/>
    <w:rsid w:val="00B44791"/>
    <w:rsid w:val="00B46D29"/>
    <w:rsid w:val="00B52802"/>
    <w:rsid w:val="00B53C65"/>
    <w:rsid w:val="00B62000"/>
    <w:rsid w:val="00B63E88"/>
    <w:rsid w:val="00B65F7D"/>
    <w:rsid w:val="00B66C56"/>
    <w:rsid w:val="00B67C13"/>
    <w:rsid w:val="00B83D46"/>
    <w:rsid w:val="00B86169"/>
    <w:rsid w:val="00B906B3"/>
    <w:rsid w:val="00BA0013"/>
    <w:rsid w:val="00BA3BB9"/>
    <w:rsid w:val="00BB2965"/>
    <w:rsid w:val="00BB3975"/>
    <w:rsid w:val="00BC074C"/>
    <w:rsid w:val="00BC3853"/>
    <w:rsid w:val="00BC3B42"/>
    <w:rsid w:val="00BC474B"/>
    <w:rsid w:val="00BD6794"/>
    <w:rsid w:val="00BD6B58"/>
    <w:rsid w:val="00BE44AD"/>
    <w:rsid w:val="00BE65D7"/>
    <w:rsid w:val="00BF2DD1"/>
    <w:rsid w:val="00BF2F08"/>
    <w:rsid w:val="00BF3B50"/>
    <w:rsid w:val="00BF5151"/>
    <w:rsid w:val="00C01670"/>
    <w:rsid w:val="00C027FE"/>
    <w:rsid w:val="00C037F2"/>
    <w:rsid w:val="00C052BF"/>
    <w:rsid w:val="00C110D5"/>
    <w:rsid w:val="00C13F6D"/>
    <w:rsid w:val="00C1601E"/>
    <w:rsid w:val="00C33D45"/>
    <w:rsid w:val="00C372C1"/>
    <w:rsid w:val="00C40412"/>
    <w:rsid w:val="00C56E28"/>
    <w:rsid w:val="00C600B9"/>
    <w:rsid w:val="00C60AC5"/>
    <w:rsid w:val="00C6229C"/>
    <w:rsid w:val="00C62D63"/>
    <w:rsid w:val="00C63E2A"/>
    <w:rsid w:val="00C64044"/>
    <w:rsid w:val="00C66214"/>
    <w:rsid w:val="00C70862"/>
    <w:rsid w:val="00C70E36"/>
    <w:rsid w:val="00C72F46"/>
    <w:rsid w:val="00C73376"/>
    <w:rsid w:val="00C761BF"/>
    <w:rsid w:val="00C770DB"/>
    <w:rsid w:val="00C82CB6"/>
    <w:rsid w:val="00C87915"/>
    <w:rsid w:val="00C924A1"/>
    <w:rsid w:val="00C95482"/>
    <w:rsid w:val="00CA0986"/>
    <w:rsid w:val="00CA294F"/>
    <w:rsid w:val="00CA3553"/>
    <w:rsid w:val="00CA5A17"/>
    <w:rsid w:val="00CB0745"/>
    <w:rsid w:val="00CC5453"/>
    <w:rsid w:val="00CD381B"/>
    <w:rsid w:val="00CE31E5"/>
    <w:rsid w:val="00CF249B"/>
    <w:rsid w:val="00CF43DC"/>
    <w:rsid w:val="00CF7DFC"/>
    <w:rsid w:val="00D0469A"/>
    <w:rsid w:val="00D15F90"/>
    <w:rsid w:val="00D2295F"/>
    <w:rsid w:val="00D34344"/>
    <w:rsid w:val="00D3627B"/>
    <w:rsid w:val="00D37283"/>
    <w:rsid w:val="00D51B25"/>
    <w:rsid w:val="00D61B16"/>
    <w:rsid w:val="00D669CB"/>
    <w:rsid w:val="00D73BFC"/>
    <w:rsid w:val="00D95509"/>
    <w:rsid w:val="00D96BFA"/>
    <w:rsid w:val="00DA087E"/>
    <w:rsid w:val="00DA5F7E"/>
    <w:rsid w:val="00DA7CA6"/>
    <w:rsid w:val="00DC2A80"/>
    <w:rsid w:val="00DD0410"/>
    <w:rsid w:val="00DD65E7"/>
    <w:rsid w:val="00DE2074"/>
    <w:rsid w:val="00DF2589"/>
    <w:rsid w:val="00DF450C"/>
    <w:rsid w:val="00DF67B6"/>
    <w:rsid w:val="00DF72B4"/>
    <w:rsid w:val="00E0093D"/>
    <w:rsid w:val="00E15D20"/>
    <w:rsid w:val="00E15DA0"/>
    <w:rsid w:val="00E21594"/>
    <w:rsid w:val="00E244FA"/>
    <w:rsid w:val="00E31F5D"/>
    <w:rsid w:val="00E3294D"/>
    <w:rsid w:val="00E42A9C"/>
    <w:rsid w:val="00E43FF7"/>
    <w:rsid w:val="00E5135F"/>
    <w:rsid w:val="00E513D2"/>
    <w:rsid w:val="00E605DF"/>
    <w:rsid w:val="00E63447"/>
    <w:rsid w:val="00E77012"/>
    <w:rsid w:val="00E91275"/>
    <w:rsid w:val="00EA0110"/>
    <w:rsid w:val="00EA568B"/>
    <w:rsid w:val="00EC414B"/>
    <w:rsid w:val="00EC5A36"/>
    <w:rsid w:val="00EC6FE1"/>
    <w:rsid w:val="00EE59E0"/>
    <w:rsid w:val="00EE6423"/>
    <w:rsid w:val="00EE7F0A"/>
    <w:rsid w:val="00EF0976"/>
    <w:rsid w:val="00EF2560"/>
    <w:rsid w:val="00EF550A"/>
    <w:rsid w:val="00F05606"/>
    <w:rsid w:val="00F11D7E"/>
    <w:rsid w:val="00F15C75"/>
    <w:rsid w:val="00F17978"/>
    <w:rsid w:val="00F20C18"/>
    <w:rsid w:val="00F31903"/>
    <w:rsid w:val="00F32272"/>
    <w:rsid w:val="00F335D7"/>
    <w:rsid w:val="00F46FD0"/>
    <w:rsid w:val="00F557D8"/>
    <w:rsid w:val="00F632C9"/>
    <w:rsid w:val="00F64E00"/>
    <w:rsid w:val="00F728C7"/>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eader" Target="header1.xm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6FD4-481E-40ED-A120-D14E65B6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14002</Words>
  <Characters>75615</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89439</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2021-05-14T18:04:00Z</cp:lastPrinted>
  <dcterms:created xsi:type="dcterms:W3CDTF">2021-05-14T18:04:00Z</dcterms:created>
  <dcterms:modified xsi:type="dcterms:W3CDTF">2021-05-14T18:04:00Z</dcterms:modified>
</cp:coreProperties>
</file>