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DECISÃO DE IMPUGNAÇÃO A EDITAL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Referência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Edital do Pregão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Eletrônico</w:t>
      </w:r>
      <w:r w:rsidR="009D1049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nº 0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13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/202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2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Processo Licitatório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C9090F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nº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0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1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9/2022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Objeto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Aquisição de equipamentos hospitalares para atender as necessidades da Secretaria Mun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i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cipal de Saúde nas quantidades e especificações contidas no Termo de Referência.</w:t>
      </w:r>
    </w:p>
    <w:p w:rsidR="008777DA" w:rsidRPr="00C27173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Impugnante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C27173" w:rsidRPr="00C27173">
        <w:rPr>
          <w:rFonts w:ascii="Times New Roman" w:hAnsi="Times New Roman" w:cs="Times New Roman"/>
          <w:shd w:val="clear" w:color="auto" w:fill="FFFFFF"/>
        </w:rPr>
        <w:t>M.K.R. COMERCIO DE EQUIPAMENTOS EIRELI</w:t>
      </w:r>
      <w:r w:rsidRPr="00C2717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– CNPJ</w:t>
      </w:r>
      <w:r w:rsidR="008777DA" w:rsidRPr="00C2717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C27173" w:rsidRPr="00C27173">
        <w:rPr>
          <w:rFonts w:ascii="Times New Roman" w:hAnsi="Times New Roman" w:cs="Times New Roman"/>
          <w:shd w:val="clear" w:color="auto" w:fill="FFFFFF"/>
        </w:rPr>
        <w:t>31.499.939/0001-</w:t>
      </w:r>
      <w:proofErr w:type="gramStart"/>
      <w:r w:rsidR="00C27173" w:rsidRPr="00C27173">
        <w:rPr>
          <w:rFonts w:ascii="Times New Roman" w:hAnsi="Times New Roman" w:cs="Times New Roman"/>
          <w:shd w:val="clear" w:color="auto" w:fill="FFFFFF"/>
        </w:rPr>
        <w:t>76</w:t>
      </w:r>
      <w:proofErr w:type="gramEnd"/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Impugnado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: Município de Tupaciguara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1. PRELIMINARES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Observa-se que trata de impugnação tempestiva, visto que foi interposta dentro do prazo</w:t>
      </w:r>
      <w:r w:rsidR="00A67C40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conforme item 3.1 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e 3.3 </w:t>
      </w:r>
      <w:r w:rsidR="00A67C40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do Edital</w:t>
      </w:r>
      <w:r w:rsidR="006073B3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,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protocolada de forma eletrônica, n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a plataforma </w:t>
      </w:r>
      <w:proofErr w:type="spellStart"/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>Licit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>a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>net</w:t>
      </w:r>
      <w:proofErr w:type="spellEnd"/>
      <w:r w:rsidR="00682C2A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.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Superadas as questões inicialmente suscitadas, pass</w:t>
      </w:r>
      <w:r w:rsidR="006073B3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a-se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a análise dos fatos.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2. DAS ALEGAÇÕES DA IMPUGNANTE</w:t>
      </w:r>
    </w:p>
    <w:p w:rsidR="00C27173" w:rsidRPr="00C27173" w:rsidRDefault="00A56C01" w:rsidP="00C27173">
      <w:pPr>
        <w:ind w:firstLine="709"/>
        <w:jc w:val="both"/>
        <w:rPr>
          <w:rFonts w:ascii="Times New Roman" w:hAnsi="Times New Roman" w:cs="Times New Roman"/>
          <w:b/>
        </w:rPr>
      </w:pPr>
      <w:r w:rsidRPr="008777DA">
        <w:t>1</w:t>
      </w:r>
      <w:r w:rsidR="00916A07" w:rsidRPr="008777DA">
        <w:t xml:space="preserve">º </w:t>
      </w:r>
      <w:proofErr w:type="gramStart"/>
      <w:r w:rsidR="00916A07" w:rsidRPr="008777DA">
        <w:t>-</w:t>
      </w:r>
      <w:r w:rsidRPr="008777DA">
        <w:t xml:space="preserve"> </w:t>
      </w:r>
      <w:r w:rsidR="00C27173" w:rsidRPr="00C27173">
        <w:rPr>
          <w:rFonts w:ascii="Times New Roman" w:hAnsi="Times New Roman" w:cs="Times New Roman"/>
        </w:rPr>
        <w:t>a)</w:t>
      </w:r>
      <w:proofErr w:type="gramEnd"/>
      <w:r w:rsidR="00C27173" w:rsidRPr="00C27173">
        <w:rPr>
          <w:rFonts w:ascii="Times New Roman" w:hAnsi="Times New Roman" w:cs="Times New Roman"/>
        </w:rPr>
        <w:t xml:space="preserve"> Autorização de Fornecimento da Empresa (AFE) – correlatos, expedida pela ANVISA, conforme art. 50 da Lei 6.360/1976.</w:t>
      </w:r>
    </w:p>
    <w:p w:rsidR="00C27173" w:rsidRPr="00C27173" w:rsidRDefault="00C27173" w:rsidP="00C27173">
      <w:pPr>
        <w:jc w:val="both"/>
        <w:rPr>
          <w:rFonts w:ascii="Times New Roman" w:hAnsi="Times New Roman" w:cs="Times New Roman"/>
        </w:rPr>
      </w:pPr>
      <w:r w:rsidRPr="00C27173">
        <w:rPr>
          <w:rFonts w:ascii="Times New Roman" w:hAnsi="Times New Roman" w:cs="Times New Roman"/>
        </w:rPr>
        <w:t>b) Alvará Sanitário (ou Licença Sanitária) da empresa licitante, expedido pela Vigilância Sanitária Estadual ou Municipal da sede do licitante, vigente, compatível ao objeto licitado.</w:t>
      </w:r>
    </w:p>
    <w:p w:rsidR="00957BEC" w:rsidRPr="008777DA" w:rsidRDefault="00957BEC" w:rsidP="00C27173">
      <w:pPr>
        <w:pStyle w:val="NormalWeb"/>
        <w:shd w:val="clear" w:color="auto" w:fill="FFFFFF"/>
        <w:spacing w:before="0" w:beforeAutospacing="0" w:after="0" w:afterAutospacing="0"/>
        <w:ind w:firstLine="709"/>
      </w:pPr>
    </w:p>
    <w:p w:rsidR="00BE5FE3" w:rsidRPr="00C27173" w:rsidRDefault="00A56C01" w:rsidP="00C27173">
      <w:pPr>
        <w:pStyle w:val="NormalWeb"/>
        <w:ind w:firstLine="709"/>
        <w:jc w:val="both"/>
        <w:rPr>
          <w:rFonts w:ascii="Verdana" w:hAnsi="Verdana"/>
          <w:color w:val="000000"/>
        </w:rPr>
      </w:pPr>
      <w:r w:rsidRPr="008777DA">
        <w:t>2</w:t>
      </w:r>
      <w:r w:rsidR="00916A07" w:rsidRPr="008777DA">
        <w:t>º -</w:t>
      </w:r>
      <w:r w:rsidRPr="008777DA">
        <w:t xml:space="preserve"> </w:t>
      </w:r>
      <w:r w:rsidR="00C27173" w:rsidRPr="00C27173">
        <w:rPr>
          <w:rStyle w:val="Forte"/>
          <w:b w:val="0"/>
        </w:rPr>
        <w:t>Certidão de Regularidade Técnica (CRT), expedida pelos Conselhos Estaduais de Fa</w:t>
      </w:r>
      <w:r w:rsidR="00C27173" w:rsidRPr="00C27173">
        <w:rPr>
          <w:rStyle w:val="Forte"/>
          <w:b w:val="0"/>
        </w:rPr>
        <w:t>r</w:t>
      </w:r>
      <w:r w:rsidR="00C27173" w:rsidRPr="00C27173">
        <w:rPr>
          <w:rStyle w:val="Forte"/>
          <w:b w:val="0"/>
        </w:rPr>
        <w:t>mácia.</w:t>
      </w:r>
      <w:proofErr w:type="gramStart"/>
      <w:r w:rsidR="00916A07" w:rsidRPr="00F31EF6">
        <w:tab/>
      </w:r>
      <w:proofErr w:type="gramEnd"/>
    </w:p>
    <w:p w:rsidR="00916A07" w:rsidRPr="00F31EF6" w:rsidRDefault="00916A07" w:rsidP="00916A07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962"/>
        <w:jc w:val="right"/>
        <w:textAlignment w:val="baseline"/>
        <w:rPr>
          <w:rFonts w:ascii="Times New Roman" w:hAnsi="Times New Roman" w:cs="Times New Roman"/>
          <w:b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3. DO MÉRITO</w:t>
      </w:r>
    </w:p>
    <w:p w:rsidR="00712176" w:rsidRDefault="00045809" w:rsidP="004C77CC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F31EF6">
        <w:rPr>
          <w:b/>
        </w:rPr>
        <w:tab/>
      </w:r>
      <w:r w:rsidRPr="00F31EF6">
        <w:t xml:space="preserve">Com relação </w:t>
      </w:r>
      <w:r w:rsidR="002A2AE9">
        <w:t>às alegações da empresa impugnante passemos a l</w:t>
      </w:r>
      <w:r w:rsidR="00712176" w:rsidRPr="00F31EF6">
        <w:t>eitura</w:t>
      </w:r>
      <w:r w:rsidR="004C77CC">
        <w:t xml:space="preserve"> da</w:t>
      </w:r>
      <w:proofErr w:type="gramStart"/>
      <w:r w:rsidR="004C77CC">
        <w:t xml:space="preserve"> </w:t>
      </w:r>
      <w:r w:rsidR="00712176" w:rsidRPr="00F31EF6">
        <w:t xml:space="preserve"> </w:t>
      </w:r>
      <w:proofErr w:type="gramEnd"/>
      <w:r w:rsidR="004C77CC">
        <w:t xml:space="preserve">NOTA TÉCNICA N 03/2012/GQUIP/GGTPS/ </w:t>
      </w:r>
    </w:p>
    <w:p w:rsidR="004C77CC" w:rsidRDefault="004C77CC" w:rsidP="004C7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Objeto: Servir como um guia </w:t>
      </w:r>
      <w:proofErr w:type="spellStart"/>
      <w:r>
        <w:t>orientativo</w:t>
      </w:r>
      <w:proofErr w:type="spellEnd"/>
      <w:r>
        <w:t xml:space="preserve"> às empresas do setor de produtos para saúde para o </w:t>
      </w:r>
      <w:proofErr w:type="spellStart"/>
      <w:r>
        <w:t>peticionamento</w:t>
      </w:r>
      <w:proofErr w:type="spellEnd"/>
      <w:r>
        <w:t xml:space="preserve"> de Registro/Cadastramento tendo como base a IN 02/2011. Considerando: a Instrução Normativa nº 02, de 31 de maio de 2011 apresenta a relação de equip</w:t>
      </w:r>
      <w:r>
        <w:t>a</w:t>
      </w:r>
      <w:r>
        <w:t>mentos médicos e materiais de uso em saúde que não se enquadram na situação de cadastro, permanecendo na obrigatoriedade de registro na ANVISA; a Resol</w:t>
      </w:r>
      <w:r>
        <w:t>u</w:t>
      </w:r>
      <w:r>
        <w:t>ção da Diretoria Colegiada - RDC nº - 24, de 21 de Maio de 2009, estabelece o âmbito e a forma de apl</w:t>
      </w:r>
      <w:r>
        <w:t>i</w:t>
      </w:r>
      <w:r>
        <w:t>cação do regime do cadastramento para o controle s</w:t>
      </w:r>
      <w:r>
        <w:t>a</w:t>
      </w:r>
      <w:r>
        <w:t>nitário dos produtos para saúde; a Instrução Normat</w:t>
      </w:r>
      <w:r>
        <w:t>i</w:t>
      </w:r>
      <w:r>
        <w:t>va - IN nº 13, de 22 de Outubro de 2009, dispõe sobre a documentação para registro de equipamentos méd</w:t>
      </w:r>
      <w:r>
        <w:t>i</w:t>
      </w:r>
      <w:r>
        <w:t>cos das Classes de Risco I e II; a definição de prod</w:t>
      </w:r>
      <w:r>
        <w:t>u</w:t>
      </w:r>
      <w:r>
        <w:t>tos para saúde expressa na RDC nº 185, de 22 de o</w:t>
      </w:r>
      <w:r>
        <w:t>u</w:t>
      </w:r>
      <w:r>
        <w:t>tubro de 2001 e no MANUAL PARA REGULAR</w:t>
      </w:r>
      <w:r>
        <w:t>I</w:t>
      </w:r>
      <w:r>
        <w:t>ZAÇÃO DE EQUIPAMENTOS MÉDICOS NA A</w:t>
      </w:r>
      <w:r>
        <w:t>N</w:t>
      </w:r>
      <w:r>
        <w:t>VISA, da GQUIP (Gerência de Equipamentos); o pr</w:t>
      </w:r>
      <w:r>
        <w:t>o</w:t>
      </w:r>
      <w:r>
        <w:lastRenderedPageBreak/>
        <w:t>duto ou processo de fabricação na qual pode aprese</w:t>
      </w:r>
      <w:r>
        <w:t>n</w:t>
      </w:r>
      <w:r>
        <w:t>tar risco à saúde do consumidor, paciente, operador ou terceiros envolvidos; E, finalmente, a dificuldade de enquadramento de diversos produtos; Esta gerência vem por meio desta nota técnica esclarecer o entend</w:t>
      </w:r>
      <w:r>
        <w:t>i</w:t>
      </w:r>
      <w:r>
        <w:t xml:space="preserve">mento sobre o enquadramento sanitário de </w:t>
      </w:r>
      <w:r w:rsidRPr="004C77CC">
        <w:t xml:space="preserve">diversos produtos. Produtos não Considerados Produtos para Saúde: </w:t>
      </w:r>
      <w:proofErr w:type="gramStart"/>
      <w:r w:rsidRPr="004C77CC">
        <w:rPr>
          <w:i/>
          <w:u w:val="single"/>
        </w:rPr>
        <w:t>1</w:t>
      </w:r>
      <w:proofErr w:type="gramEnd"/>
      <w:r w:rsidRPr="004C77CC">
        <w:rPr>
          <w:i/>
          <w:u w:val="single"/>
        </w:rPr>
        <w:t xml:space="preserve">. Balança Antropométrica </w:t>
      </w:r>
      <w:proofErr w:type="gramStart"/>
      <w:r w:rsidRPr="004C77CC">
        <w:rPr>
          <w:i/>
          <w:u w:val="single"/>
        </w:rPr>
        <w:t>2</w:t>
      </w:r>
      <w:proofErr w:type="gramEnd"/>
      <w:r w:rsidRPr="004C77CC">
        <w:rPr>
          <w:i/>
          <w:u w:val="single"/>
        </w:rPr>
        <w:t>. Balança Eletr</w:t>
      </w:r>
      <w:r w:rsidRPr="004C77CC">
        <w:rPr>
          <w:i/>
          <w:u w:val="single"/>
        </w:rPr>
        <w:t>ô</w:t>
      </w:r>
      <w:r w:rsidRPr="004C77CC">
        <w:rPr>
          <w:i/>
          <w:u w:val="single"/>
        </w:rPr>
        <w:t xml:space="preserve">nica para Estabelecimentos para saúde </w:t>
      </w:r>
      <w:proofErr w:type="gramStart"/>
      <w:r>
        <w:t>3</w:t>
      </w:r>
      <w:proofErr w:type="gramEnd"/>
      <w:r>
        <w:t xml:space="preserve">. Balança de Bioimpedância </w:t>
      </w:r>
      <w:proofErr w:type="gramStart"/>
      <w:r>
        <w:t>4</w:t>
      </w:r>
      <w:proofErr w:type="gramEnd"/>
      <w:r>
        <w:t xml:space="preserve">. Régua Antropométrica Pediátrica 4.1. </w:t>
      </w:r>
      <w:proofErr w:type="spellStart"/>
      <w:r>
        <w:t>Estadiômetro</w:t>
      </w:r>
      <w:proofErr w:type="spellEnd"/>
      <w:r>
        <w:t xml:space="preserve"> 4.2. </w:t>
      </w:r>
      <w:proofErr w:type="spellStart"/>
      <w:r>
        <w:t>Infantômetro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. Equipamentos para </w:t>
      </w:r>
      <w:proofErr w:type="spellStart"/>
      <w:r>
        <w:t>Pilates</w:t>
      </w:r>
      <w:proofErr w:type="spellEnd"/>
      <w:r>
        <w:t xml:space="preserve"> </w:t>
      </w:r>
      <w:proofErr w:type="gramStart"/>
      <w:r>
        <w:t>6</w:t>
      </w:r>
      <w:proofErr w:type="gramEnd"/>
      <w:r>
        <w:t>. Triturador de agulhas.</w:t>
      </w:r>
    </w:p>
    <w:p w:rsidR="004C77CC" w:rsidRDefault="004C77CC" w:rsidP="004C77CC">
      <w:pPr>
        <w:pStyle w:val="NormalWeb"/>
        <w:ind w:firstLine="709"/>
        <w:jc w:val="both"/>
        <w:rPr>
          <w:rStyle w:val="Forte"/>
          <w:b w:val="0"/>
        </w:rPr>
      </w:pPr>
      <w:r>
        <w:t xml:space="preserve">Com relação ao segundo pedido da impugnante, </w:t>
      </w:r>
      <w:r w:rsidRPr="008777DA">
        <w:t xml:space="preserve">- </w:t>
      </w:r>
      <w:r w:rsidRPr="00C27173">
        <w:rPr>
          <w:rStyle w:val="Forte"/>
          <w:b w:val="0"/>
        </w:rPr>
        <w:t>Certidão de Regularidade Técnica (CRT), expedida pelos Conselhos Estaduais de Far</w:t>
      </w:r>
      <w:r>
        <w:rPr>
          <w:rStyle w:val="Forte"/>
          <w:b w:val="0"/>
        </w:rPr>
        <w:t xml:space="preserve">mácia. </w:t>
      </w:r>
    </w:p>
    <w:p w:rsidR="004C77CC" w:rsidRPr="00C27173" w:rsidRDefault="004C77CC" w:rsidP="004C77CC">
      <w:pPr>
        <w:pStyle w:val="NormalWeb"/>
        <w:ind w:firstLine="709"/>
        <w:jc w:val="both"/>
        <w:rPr>
          <w:rFonts w:ascii="Verdana" w:hAnsi="Verdana"/>
          <w:color w:val="000000"/>
        </w:rPr>
      </w:pPr>
      <w:r>
        <w:rPr>
          <w:rStyle w:val="Forte"/>
          <w:b w:val="0"/>
        </w:rPr>
        <w:t>Creio haver um equivoco por conta da impugnante, uma vez que, em consulta ao Instrume</w:t>
      </w:r>
      <w:r>
        <w:rPr>
          <w:rStyle w:val="Forte"/>
          <w:b w:val="0"/>
        </w:rPr>
        <w:t>n</w:t>
      </w:r>
      <w:r>
        <w:rPr>
          <w:rStyle w:val="Forte"/>
          <w:b w:val="0"/>
        </w:rPr>
        <w:t xml:space="preserve">to </w:t>
      </w:r>
      <w:r w:rsidR="005E1D97">
        <w:rPr>
          <w:rStyle w:val="Forte"/>
          <w:b w:val="0"/>
        </w:rPr>
        <w:t>Convocatório, nota-se</w:t>
      </w:r>
      <w:r>
        <w:rPr>
          <w:rStyle w:val="Forte"/>
          <w:b w:val="0"/>
        </w:rPr>
        <w:t xml:space="preserve"> não constar nada relacionado ao seu pedido. </w:t>
      </w:r>
    </w:p>
    <w:p w:rsidR="00396CB3" w:rsidRPr="004C77CC" w:rsidRDefault="00396CB3" w:rsidP="00396CB3">
      <w:pPr>
        <w:pStyle w:val="NormalWeb"/>
        <w:spacing w:before="0" w:beforeAutospacing="0" w:after="0" w:afterAutospacing="0"/>
        <w:jc w:val="both"/>
      </w:pPr>
      <w:bookmarkStart w:id="0" w:name="art30i"/>
      <w:bookmarkEnd w:id="0"/>
    </w:p>
    <w:p w:rsidR="00957BEC" w:rsidRPr="004C77C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77CC">
        <w:rPr>
          <w:rFonts w:ascii="Times New Roman" w:eastAsia="Times New Roman" w:hAnsi="Times New Roman" w:cs="Times New Roman"/>
          <w:kern w:val="0"/>
          <w:lang w:eastAsia="pt-BR" w:bidi="ar-SA"/>
        </w:rPr>
        <w:t>4. DA DECISÃO</w:t>
      </w:r>
    </w:p>
    <w:p w:rsidR="00957BE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</w:r>
      <w:proofErr w:type="gramStart"/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Isto posto</w:t>
      </w:r>
      <w:proofErr w:type="gramEnd"/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</w:t>
      </w: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CONHEÇO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da Impugnação interposta pela empresa </w:t>
      </w:r>
      <w:r w:rsidR="004C77CC" w:rsidRPr="00C27173">
        <w:rPr>
          <w:rFonts w:ascii="Times New Roman" w:hAnsi="Times New Roman" w:cs="Times New Roman"/>
          <w:shd w:val="clear" w:color="auto" w:fill="FFFFFF"/>
        </w:rPr>
        <w:t>M.K.R. COMERCIO DE EQUIPAMENTOS EIRELI</w:t>
      </w:r>
      <w:r w:rsidR="0026236C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F80687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a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 Processo Licitatório nº. 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01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9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modalidade Pregão 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Eletrônico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nº. 0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13/2022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e no mérito</w:t>
      </w:r>
      <w:r w:rsidR="004A1326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julgar, </w:t>
      </w:r>
      <w:r w:rsidR="00034D0A">
        <w:rPr>
          <w:rFonts w:ascii="Times New Roman" w:eastAsia="Times New Roman" w:hAnsi="Times New Roman" w:cs="Times New Roman"/>
          <w:b/>
          <w:kern w:val="0"/>
          <w:lang w:eastAsia="pt-BR" w:bidi="ar-SA"/>
        </w:rPr>
        <w:t>PARCIALMENTE PR</w:t>
      </w:r>
      <w:r w:rsidR="0026236C">
        <w:rPr>
          <w:rFonts w:ascii="Times New Roman" w:eastAsia="Times New Roman" w:hAnsi="Times New Roman" w:cs="Times New Roman"/>
          <w:b/>
          <w:kern w:val="0"/>
          <w:lang w:eastAsia="pt-BR" w:bidi="ar-SA"/>
        </w:rPr>
        <w:t>OCEDENTE</w:t>
      </w:r>
      <w:r w:rsidR="004A1326"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,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3C7D93">
        <w:rPr>
          <w:rFonts w:ascii="Times New Roman" w:eastAsia="Times New Roman" w:hAnsi="Times New Roman" w:cs="Times New Roman"/>
          <w:kern w:val="0"/>
          <w:lang w:eastAsia="pt-BR" w:bidi="ar-SA"/>
        </w:rPr>
        <w:t>contudo acatando a impugn</w:t>
      </w:r>
      <w:r w:rsidR="003C7D93">
        <w:rPr>
          <w:rFonts w:ascii="Times New Roman" w:eastAsia="Times New Roman" w:hAnsi="Times New Roman" w:cs="Times New Roman"/>
          <w:kern w:val="0"/>
          <w:lang w:eastAsia="pt-BR" w:bidi="ar-SA"/>
        </w:rPr>
        <w:t>a</w:t>
      </w:r>
      <w:r w:rsidR="003C7D9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ção da empresa </w:t>
      </w:r>
      <w:r w:rsidR="003C7D93" w:rsidRPr="003C7D93">
        <w:rPr>
          <w:rFonts w:ascii="Times New Roman" w:hAnsi="Times New Roman" w:cs="Times New Roman"/>
          <w:shd w:val="clear" w:color="auto" w:fill="FCFCFC"/>
        </w:rPr>
        <w:t>MHÉDICA SERVICE COMERCIO E MANUTENÇÃO LTDA</w:t>
      </w:r>
      <w:r w:rsidR="003C7D93" w:rsidRPr="003C7D93">
        <w:rPr>
          <w:rFonts w:ascii="Times New Roman" w:hAnsi="Times New Roman" w:cs="Times New Roman"/>
          <w:shd w:val="clear" w:color="auto" w:fill="FCFCFC"/>
        </w:rPr>
        <w:t xml:space="preserve"> o referido pr</w:t>
      </w:r>
      <w:r w:rsidR="003C7D93" w:rsidRPr="003C7D93">
        <w:rPr>
          <w:rFonts w:ascii="Times New Roman" w:hAnsi="Times New Roman" w:cs="Times New Roman"/>
          <w:shd w:val="clear" w:color="auto" w:fill="FCFCFC"/>
        </w:rPr>
        <w:t>o</w:t>
      </w:r>
      <w:r w:rsidR="003C7D93" w:rsidRPr="003C7D93">
        <w:rPr>
          <w:rFonts w:ascii="Times New Roman" w:hAnsi="Times New Roman" w:cs="Times New Roman"/>
          <w:shd w:val="clear" w:color="auto" w:fill="FCFCFC"/>
        </w:rPr>
        <w:t xml:space="preserve">cesso será </w:t>
      </w:r>
      <w:r w:rsidR="003C7D93" w:rsidRPr="003C7D93">
        <w:rPr>
          <w:rFonts w:ascii="Times New Roman" w:hAnsi="Times New Roman" w:cs="Times New Roman"/>
          <w:b/>
          <w:shd w:val="clear" w:color="auto" w:fill="FCFCFC"/>
        </w:rPr>
        <w:t>REVOGADO</w:t>
      </w:r>
      <w:r w:rsidR="00034D0A">
        <w:rPr>
          <w:rFonts w:ascii="Times New Roman" w:eastAsia="Times New Roman" w:hAnsi="Times New Roman" w:cs="Times New Roman"/>
          <w:b/>
          <w:kern w:val="0"/>
          <w:lang w:eastAsia="pt-BR" w:bidi="ar-SA"/>
        </w:rPr>
        <w:t>.</w:t>
      </w:r>
    </w:p>
    <w:p w:rsidR="00034D0A" w:rsidRPr="00F31EF6" w:rsidRDefault="00034D0A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1" w:name="_GoBack"/>
      <w:bookmarkEnd w:id="1"/>
    </w:p>
    <w:p w:rsidR="004A1326" w:rsidRPr="00F31EF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Publique-se.</w:t>
      </w:r>
    </w:p>
    <w:p w:rsidR="004A1326" w:rsidRPr="00F31EF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5E6DE0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Tupaciguara,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18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de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Abril</w:t>
      </w:r>
      <w:r w:rsidR="0026236C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de 2022</w:t>
      </w:r>
      <w:r w:rsidR="00F31EF6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.</w:t>
      </w:r>
    </w:p>
    <w:p w:rsidR="00AF038F" w:rsidRPr="00F31EF6" w:rsidRDefault="00AF038F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______________________________________</w:t>
      </w:r>
    </w:p>
    <w:p w:rsidR="00957BEC" w:rsidRPr="00F31EF6" w:rsidRDefault="00034D0A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Emerson Rosa de Paiva</w:t>
      </w:r>
    </w:p>
    <w:p w:rsidR="00957BEC" w:rsidRPr="00F31EF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Pregoeiro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Eletrônico</w:t>
      </w:r>
    </w:p>
    <w:p w:rsidR="00F31EF6" w:rsidRPr="00542C0D" w:rsidRDefault="00F31EF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F31EF6" w:rsidRPr="00542C0D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AE" w:rsidRDefault="006558AE" w:rsidP="004B34C6">
      <w:pPr>
        <w:rPr>
          <w:rFonts w:hint="eastAsia"/>
        </w:rPr>
      </w:pPr>
      <w:r>
        <w:separator/>
      </w:r>
    </w:p>
  </w:endnote>
  <w:endnote w:type="continuationSeparator" w:id="0">
    <w:p w:rsidR="006558AE" w:rsidRDefault="006558AE" w:rsidP="004B3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AE" w:rsidRDefault="006558AE" w:rsidP="004B34C6">
      <w:pPr>
        <w:rPr>
          <w:rFonts w:hint="eastAsia"/>
        </w:rPr>
      </w:pPr>
      <w:r>
        <w:separator/>
      </w:r>
    </w:p>
  </w:footnote>
  <w:footnote w:type="continuationSeparator" w:id="0">
    <w:p w:rsidR="006558AE" w:rsidRDefault="006558AE" w:rsidP="004B3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Pr="002A41FC" w:rsidRDefault="004B34C6" w:rsidP="004B34C6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4B34C6" w:rsidRPr="002A41FC" w:rsidRDefault="004B34C6" w:rsidP="004B34C6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4B34C6" w:rsidRPr="002A41FC" w:rsidRDefault="004B34C6" w:rsidP="004B34C6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4B34C6" w:rsidRPr="002A41FC" w:rsidRDefault="004B34C6" w:rsidP="004B34C6">
    <w:pPr>
      <w:pBdr>
        <w:bottom w:val="single" w:sz="4" w:space="1" w:color="auto"/>
      </w:pBdr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TUPACIGUARA-MG CEP 38.48</w:t>
    </w:r>
    <w:r w:rsidRPr="002A41FC">
      <w:rPr>
        <w:rFonts w:ascii="Calibri" w:hAnsi="Calibri"/>
        <w:sz w:val="20"/>
        <w:lang w:val="en-US"/>
      </w:rPr>
      <w:t>0-000</w:t>
    </w:r>
  </w:p>
  <w:p w:rsidR="004B34C6" w:rsidRDefault="004B34C6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F6"/>
    <w:multiLevelType w:val="hybridMultilevel"/>
    <w:tmpl w:val="1E80867E"/>
    <w:lvl w:ilvl="0" w:tplc="70A865C2">
      <w:start w:val="1"/>
      <w:numFmt w:val="decimal"/>
      <w:lvlText w:val="%1."/>
      <w:lvlJc w:val="left"/>
      <w:pPr>
        <w:ind w:left="4370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C"/>
    <w:rsid w:val="00025830"/>
    <w:rsid w:val="00034D0A"/>
    <w:rsid w:val="00035332"/>
    <w:rsid w:val="00043176"/>
    <w:rsid w:val="00045809"/>
    <w:rsid w:val="00090EC9"/>
    <w:rsid w:val="00141F65"/>
    <w:rsid w:val="0015414A"/>
    <w:rsid w:val="001A7AF0"/>
    <w:rsid w:val="002319C7"/>
    <w:rsid w:val="00234352"/>
    <w:rsid w:val="0026236C"/>
    <w:rsid w:val="0029531F"/>
    <w:rsid w:val="002A01AD"/>
    <w:rsid w:val="002A2AE9"/>
    <w:rsid w:val="002F270C"/>
    <w:rsid w:val="00396CB3"/>
    <w:rsid w:val="003C7D93"/>
    <w:rsid w:val="003E0164"/>
    <w:rsid w:val="00406622"/>
    <w:rsid w:val="0043185A"/>
    <w:rsid w:val="004679CA"/>
    <w:rsid w:val="0048497C"/>
    <w:rsid w:val="004A1326"/>
    <w:rsid w:val="004B34C6"/>
    <w:rsid w:val="004C77CC"/>
    <w:rsid w:val="005057DE"/>
    <w:rsid w:val="0053683B"/>
    <w:rsid w:val="00542C0D"/>
    <w:rsid w:val="005A7D0E"/>
    <w:rsid w:val="005E1D97"/>
    <w:rsid w:val="005E6154"/>
    <w:rsid w:val="005E6DE0"/>
    <w:rsid w:val="005F3376"/>
    <w:rsid w:val="005F6816"/>
    <w:rsid w:val="00605103"/>
    <w:rsid w:val="006073B3"/>
    <w:rsid w:val="006558AE"/>
    <w:rsid w:val="00682C2A"/>
    <w:rsid w:val="006F116D"/>
    <w:rsid w:val="00712176"/>
    <w:rsid w:val="0075580C"/>
    <w:rsid w:val="00785156"/>
    <w:rsid w:val="007B476D"/>
    <w:rsid w:val="007D6889"/>
    <w:rsid w:val="007F0E25"/>
    <w:rsid w:val="008136CA"/>
    <w:rsid w:val="00850DE3"/>
    <w:rsid w:val="008558C5"/>
    <w:rsid w:val="008777DA"/>
    <w:rsid w:val="00885A1D"/>
    <w:rsid w:val="008C18C8"/>
    <w:rsid w:val="008F60DD"/>
    <w:rsid w:val="00902CFC"/>
    <w:rsid w:val="00916A07"/>
    <w:rsid w:val="00935C25"/>
    <w:rsid w:val="00957BEC"/>
    <w:rsid w:val="0097197B"/>
    <w:rsid w:val="009D1049"/>
    <w:rsid w:val="009E3A1A"/>
    <w:rsid w:val="00A56C01"/>
    <w:rsid w:val="00A67C40"/>
    <w:rsid w:val="00A72728"/>
    <w:rsid w:val="00AB0CCD"/>
    <w:rsid w:val="00AC6546"/>
    <w:rsid w:val="00AC74F1"/>
    <w:rsid w:val="00AE0BAE"/>
    <w:rsid w:val="00AF038F"/>
    <w:rsid w:val="00B7381D"/>
    <w:rsid w:val="00BE5FE3"/>
    <w:rsid w:val="00BF6215"/>
    <w:rsid w:val="00C155E8"/>
    <w:rsid w:val="00C27173"/>
    <w:rsid w:val="00C511E8"/>
    <w:rsid w:val="00C56FF4"/>
    <w:rsid w:val="00C9090F"/>
    <w:rsid w:val="00CE260F"/>
    <w:rsid w:val="00D42B89"/>
    <w:rsid w:val="00D539CF"/>
    <w:rsid w:val="00D82241"/>
    <w:rsid w:val="00DA42B6"/>
    <w:rsid w:val="00DD7FEB"/>
    <w:rsid w:val="00DF0136"/>
    <w:rsid w:val="00EF2A17"/>
    <w:rsid w:val="00F053E8"/>
    <w:rsid w:val="00F12BFB"/>
    <w:rsid w:val="00F31EF6"/>
    <w:rsid w:val="00F67A9B"/>
    <w:rsid w:val="00F80687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7121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053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662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0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7121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053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662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0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9</cp:revision>
  <cp:lastPrinted>2022-04-18T18:21:00Z</cp:lastPrinted>
  <dcterms:created xsi:type="dcterms:W3CDTF">2021-12-22T22:26:00Z</dcterms:created>
  <dcterms:modified xsi:type="dcterms:W3CDTF">2022-04-18T18:21:00Z</dcterms:modified>
  <dc:language>pt-BR</dc:language>
</cp:coreProperties>
</file>